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11A33" w14:textId="77777777" w:rsidR="00C22BFD" w:rsidRDefault="00C22BFD" w:rsidP="00D66418">
      <w:pPr>
        <w:pStyle w:val="Heading1"/>
        <w:numPr>
          <w:ilvl w:val="0"/>
          <w:numId w:val="10"/>
        </w:numPr>
      </w:pPr>
      <w:bookmarkStart w:id="0" w:name="_Toc421172288"/>
      <w:r>
        <w:t>Management Measures</w:t>
      </w:r>
      <w:bookmarkEnd w:id="0"/>
      <w:r>
        <w:t xml:space="preserve"> </w:t>
      </w:r>
    </w:p>
    <w:p w14:paraId="5FF6E9C5" w14:textId="7B5E194F" w:rsidR="00C22BFD" w:rsidRPr="00C22BFD" w:rsidRDefault="00C22BFD" w:rsidP="00A07866">
      <w:pPr>
        <w:pStyle w:val="Heading2"/>
        <w:numPr>
          <w:ilvl w:val="1"/>
          <w:numId w:val="24"/>
        </w:numPr>
      </w:pPr>
      <w:bookmarkStart w:id="1" w:name="_Toc421172289"/>
      <w:r>
        <w:t xml:space="preserve">Management Measures </w:t>
      </w:r>
      <w:bookmarkEnd w:id="1"/>
      <w:r w:rsidR="003F7D86">
        <w:t>Overview</w:t>
      </w:r>
    </w:p>
    <w:p w14:paraId="6C2EB704" w14:textId="48619C20" w:rsidR="00C22BFD" w:rsidRDefault="00A322FC" w:rsidP="00335FB3">
      <w:r>
        <w:t>This</w:t>
      </w:r>
      <w:r w:rsidR="00175EC8">
        <w:t xml:space="preserve"> Management Measures chapter detail</w:t>
      </w:r>
      <w:r>
        <w:t>s</w:t>
      </w:r>
      <w:r w:rsidR="00175EC8">
        <w:t xml:space="preserve"> the </w:t>
      </w:r>
      <w:r w:rsidR="00DF02B6">
        <w:t xml:space="preserve">water quality management measures and associated </w:t>
      </w:r>
      <w:r w:rsidR="00175EC8">
        <w:t xml:space="preserve">best management </w:t>
      </w:r>
      <w:r w:rsidR="00DF02B6">
        <w:t xml:space="preserve">practices </w:t>
      </w:r>
      <w:r w:rsidR="00175EC8">
        <w:t>(BMPs) suggested by the stakeholder</w:t>
      </w:r>
      <w:r w:rsidR="006034B2">
        <w:t>s</w:t>
      </w:r>
      <w:r w:rsidR="00175EC8">
        <w:t xml:space="preserve"> to address the water quality issues </w:t>
      </w:r>
      <w:r w:rsidR="006F51E6">
        <w:t xml:space="preserve">identified </w:t>
      </w:r>
      <w:r w:rsidR="00175EC8">
        <w:t>through stakeholder interviews</w:t>
      </w:r>
      <w:r w:rsidR="00D1711E">
        <w:t xml:space="preserve">, </w:t>
      </w:r>
      <w:r w:rsidR="00DF02B6">
        <w:t>workgroup</w:t>
      </w:r>
      <w:r w:rsidR="00B17DE8">
        <w:t xml:space="preserve">s </w:t>
      </w:r>
      <w:r w:rsidR="00DF02B6">
        <w:t xml:space="preserve">and stakeholder </w:t>
      </w:r>
      <w:r w:rsidR="00D1711E">
        <w:t>meetings</w:t>
      </w:r>
      <w:r w:rsidR="006F51E6">
        <w:t xml:space="preserve"> and </w:t>
      </w:r>
      <w:r>
        <w:t xml:space="preserve">through </w:t>
      </w:r>
      <w:r w:rsidR="006F51E6">
        <w:t>water quality monitoring</w:t>
      </w:r>
      <w:r>
        <w:t>. The</w:t>
      </w:r>
      <w:r w:rsidR="00175EC8">
        <w:t xml:space="preserve"> chapter provide</w:t>
      </w:r>
      <w:r>
        <w:t>s</w:t>
      </w:r>
      <w:r w:rsidR="00175EC8">
        <w:t xml:space="preserve"> a suite of stakeholder recommended management measures</w:t>
      </w:r>
      <w:r w:rsidR="001068A3">
        <w:t xml:space="preserve"> that can be applied to </w:t>
      </w:r>
      <w:r w:rsidR="004F6AAD">
        <w:t xml:space="preserve">the </w:t>
      </w:r>
      <w:r w:rsidR="001068A3">
        <w:t>diverse</w:t>
      </w:r>
      <w:r w:rsidR="004F6AAD">
        <w:t xml:space="preserve"> categories of potential </w:t>
      </w:r>
      <w:r w:rsidR="004B6C01">
        <w:t xml:space="preserve">pollutant </w:t>
      </w:r>
      <w:r w:rsidR="004F6AAD">
        <w:t>source</w:t>
      </w:r>
      <w:r w:rsidR="00B17DE8">
        <w:t>s in the Double Bayou Watershed</w:t>
      </w:r>
      <w:r w:rsidR="00335FB3">
        <w:t>. T</w:t>
      </w:r>
      <w:r w:rsidR="00DE3AE9">
        <w:t>he management measures</w:t>
      </w:r>
      <w:r w:rsidR="00DF02B6">
        <w:t xml:space="preserve"> </w:t>
      </w:r>
      <w:r w:rsidR="00B17DE8">
        <w:t>discussed</w:t>
      </w:r>
      <w:r w:rsidR="00DE3AE9">
        <w:t xml:space="preserve"> in this chapter</w:t>
      </w:r>
      <w:r w:rsidR="00335FB3">
        <w:t xml:space="preserve"> employed in conjunction with the outreach and education programs in Chapter 8</w:t>
      </w:r>
      <w:r w:rsidR="00DE3AE9">
        <w:t xml:space="preserve"> </w:t>
      </w:r>
      <w:r w:rsidR="00DF02B6">
        <w:t xml:space="preserve">will </w:t>
      </w:r>
      <w:r w:rsidR="00DE3AE9">
        <w:t xml:space="preserve">create a holistic watershed </w:t>
      </w:r>
      <w:r w:rsidR="00266AAA">
        <w:t xml:space="preserve">approach </w:t>
      </w:r>
      <w:r w:rsidR="004B6C01">
        <w:t>to</w:t>
      </w:r>
      <w:r w:rsidR="004F6C68">
        <w:t xml:space="preserve"> improv</w:t>
      </w:r>
      <w:r w:rsidR="004B6C01">
        <w:t>e</w:t>
      </w:r>
      <w:r w:rsidR="004F6AAD">
        <w:t xml:space="preserve"> the water quality of </w:t>
      </w:r>
      <w:r w:rsidR="00DE3AE9">
        <w:t xml:space="preserve">the Double Bayou Watershed. </w:t>
      </w:r>
      <w:r w:rsidR="00222EF6" w:rsidRPr="00FE1D66">
        <w:rPr>
          <w:szCs w:val="24"/>
        </w:rPr>
        <w:t xml:space="preserve">Management measures are proposed </w:t>
      </w:r>
      <w:r w:rsidR="00222EF6">
        <w:rPr>
          <w:szCs w:val="24"/>
        </w:rPr>
        <w:t xml:space="preserve">primarily </w:t>
      </w:r>
      <w:r w:rsidR="00222EF6" w:rsidRPr="00FE1D66">
        <w:rPr>
          <w:szCs w:val="24"/>
        </w:rPr>
        <w:t>to address bacteria concerns</w:t>
      </w:r>
      <w:r w:rsidR="00222EF6">
        <w:rPr>
          <w:szCs w:val="24"/>
        </w:rPr>
        <w:t xml:space="preserve"> in the Double Bayou watershed, but most </w:t>
      </w:r>
      <w:r w:rsidR="00222EF6" w:rsidRPr="00FE1D66">
        <w:rPr>
          <w:szCs w:val="24"/>
        </w:rPr>
        <w:t xml:space="preserve">steps taken to reduce bacteria loads also will result in reductions </w:t>
      </w:r>
      <w:r w:rsidR="00222EF6">
        <w:rPr>
          <w:szCs w:val="24"/>
        </w:rPr>
        <w:t xml:space="preserve">from other types of pollution. </w:t>
      </w:r>
      <w:r w:rsidR="00DE5601">
        <w:t xml:space="preserve">All management measures are </w:t>
      </w:r>
      <w:r w:rsidR="00ED065E">
        <w:t xml:space="preserve">voluntary and </w:t>
      </w:r>
      <w:r w:rsidR="00DE5601">
        <w:t xml:space="preserve">contingent on </w:t>
      </w:r>
      <w:r w:rsidR="008D3A99">
        <w:t xml:space="preserve">available </w:t>
      </w:r>
      <w:r w:rsidR="00DE5601">
        <w:t>funding</w:t>
      </w:r>
      <w:r w:rsidR="008D3A99">
        <w:t>.</w:t>
      </w:r>
    </w:p>
    <w:p w14:paraId="47B97116" w14:textId="18D50A60" w:rsidR="002E3642" w:rsidRDefault="002E3642" w:rsidP="00335FB3">
      <w:r>
        <w:t xml:space="preserve">As discussed in Chapter 5, </w:t>
      </w:r>
      <w:r w:rsidRPr="002E3642">
        <w:t xml:space="preserve">the Spatially Explicit Load Enrichment Calculation Tool (SELECT) </w:t>
      </w:r>
      <w:r>
        <w:t>was used in Double Bayou t</w:t>
      </w:r>
      <w:r w:rsidRPr="002E3642">
        <w:t>o estimate the distribution of potential pollutant sources across the watershed</w:t>
      </w:r>
      <w:r>
        <w:t xml:space="preserve"> and degree(s) of contribution. </w:t>
      </w:r>
      <w:r w:rsidRPr="002E3642">
        <w:t xml:space="preserve">Each potential pollutant source identified by the </w:t>
      </w:r>
      <w:r>
        <w:t>stakeholders</w:t>
      </w:r>
      <w:r w:rsidRPr="002E3642">
        <w:t xml:space="preserve"> was distributed based on the best available data and information regarding its presence in a given subwatershed. </w:t>
      </w:r>
      <w:r>
        <w:t>As a result of the SELECT analysis,</w:t>
      </w:r>
      <w:r w:rsidRPr="002E3642">
        <w:t xml:space="preserve"> </w:t>
      </w:r>
      <w:r>
        <w:t>a</w:t>
      </w:r>
      <w:r w:rsidRPr="002E3642">
        <w:t xml:space="preserve">reas and sources with the greatest potential for impacting water quality were identified and targeted for </w:t>
      </w:r>
      <w:r>
        <w:t>the management measures discussed below.</w:t>
      </w:r>
    </w:p>
    <w:p w14:paraId="3B2E3BE0" w14:textId="3F582B32" w:rsidR="0016741F" w:rsidRDefault="0016741F" w:rsidP="00261482">
      <w:r w:rsidRPr="0016741F">
        <w:t xml:space="preserve">Stakeholders met during meetings and workgroups to discuss possible management measures to improve </w:t>
      </w:r>
      <w:r w:rsidR="00261482">
        <w:t xml:space="preserve">water quality in Double Bayou. </w:t>
      </w:r>
      <w:r w:rsidRPr="0016741F">
        <w:t>Workgroups suggested possible management measures appropr</w:t>
      </w:r>
      <w:r w:rsidR="00500749">
        <w:t xml:space="preserve">iate to their workgroup focus. </w:t>
      </w:r>
      <w:r w:rsidR="00A322FC">
        <w:t>T</w:t>
      </w:r>
      <w:r w:rsidR="00A322FC" w:rsidRPr="0016741F">
        <w:t>he three main workgroups for Double Bayou were Agriculture/Wildlife/Feral hogs, Wastewater/Septic and Recreation/Hunting</w:t>
      </w:r>
      <w:r w:rsidR="00A322FC">
        <w:t xml:space="preserve">; see Chapter 3 for more information. </w:t>
      </w:r>
      <w:r w:rsidR="00217738">
        <w:t>Outr</w:t>
      </w:r>
      <w:r w:rsidR="00B102D1">
        <w:t>each and education measures</w:t>
      </w:r>
      <w:r w:rsidR="00217738">
        <w:t xml:space="preserve"> </w:t>
      </w:r>
      <w:r w:rsidR="00A322FC">
        <w:t xml:space="preserve">were combined from the workgroups and </w:t>
      </w:r>
      <w:r w:rsidR="00217738">
        <w:t xml:space="preserve">are discussed </w:t>
      </w:r>
      <w:r w:rsidR="00A322FC">
        <w:t>together</w:t>
      </w:r>
      <w:r w:rsidR="00217738">
        <w:t xml:space="preserve"> in Chapter 8.</w:t>
      </w:r>
    </w:p>
    <w:p w14:paraId="68DAC0F5" w14:textId="55DFEAE1" w:rsidR="001A4B9F" w:rsidRDefault="005B0078" w:rsidP="00B17DE8">
      <w:r>
        <w:t>Note that through the discussion there are several categories of management measures that are broad-based and w</w:t>
      </w:r>
      <w:r w:rsidR="00A75AE2">
        <w:t xml:space="preserve">ill stretch across categories. </w:t>
      </w:r>
      <w:r w:rsidR="0016741F">
        <w:t>Buffer zones</w:t>
      </w:r>
      <w:r>
        <w:t>, for example,</w:t>
      </w:r>
      <w:r w:rsidR="0016741F">
        <w:t xml:space="preserve"> will be discussed at length but may</w:t>
      </w:r>
      <w:r>
        <w:t xml:space="preserve"> </w:t>
      </w:r>
      <w:r w:rsidR="0016741F">
        <w:t>be applicabl</w:t>
      </w:r>
      <w:r w:rsidR="00B102D1">
        <w:t>e to multiple categories such as</w:t>
      </w:r>
      <w:r w:rsidR="0016741F">
        <w:t xml:space="preserve"> the reduction of nonpoint source runoff to support water quality objectives and to decrease access to the bayous for feral hog</w:t>
      </w:r>
      <w:r w:rsidR="00266AAA">
        <w:t xml:space="preserve"> management</w:t>
      </w:r>
      <w:r w:rsidR="0016741F">
        <w:t>.</w:t>
      </w:r>
      <w:r>
        <w:t xml:space="preserve"> </w:t>
      </w:r>
    </w:p>
    <w:p w14:paraId="28074975" w14:textId="66688764" w:rsidR="00347F2D" w:rsidRDefault="003F7D86" w:rsidP="00A07866">
      <w:pPr>
        <w:pStyle w:val="Heading2"/>
        <w:numPr>
          <w:ilvl w:val="1"/>
          <w:numId w:val="24"/>
        </w:numPr>
      </w:pPr>
      <w:bookmarkStart w:id="2" w:name="_Toc421172293"/>
      <w:r>
        <w:t xml:space="preserve">Double Bayou </w:t>
      </w:r>
      <w:r w:rsidR="009925BC">
        <w:t>Management Measures</w:t>
      </w:r>
      <w:bookmarkEnd w:id="2"/>
    </w:p>
    <w:p w14:paraId="0B060DDF" w14:textId="30C27159" w:rsidR="0038348E" w:rsidRDefault="0038348E" w:rsidP="00A07866">
      <w:pPr>
        <w:pStyle w:val="Heading3"/>
        <w:numPr>
          <w:ilvl w:val="2"/>
          <w:numId w:val="24"/>
        </w:numPr>
      </w:pPr>
      <w:bookmarkStart w:id="3" w:name="_Toc421172294"/>
      <w:r>
        <w:t>W</w:t>
      </w:r>
      <w:r w:rsidR="00163662">
        <w:t>astewater</w:t>
      </w:r>
      <w:r>
        <w:t xml:space="preserve"> </w:t>
      </w:r>
      <w:bookmarkEnd w:id="3"/>
      <w:r w:rsidR="00122B33">
        <w:t xml:space="preserve">Management </w:t>
      </w:r>
      <w:r w:rsidR="00163662">
        <w:t>Overview</w:t>
      </w:r>
    </w:p>
    <w:p w14:paraId="6FD6E147" w14:textId="44559C91" w:rsidR="00534282" w:rsidRDefault="004F6AAD" w:rsidP="00377F13">
      <w:r>
        <w:t xml:space="preserve">The </w:t>
      </w:r>
      <w:r w:rsidR="005B0078">
        <w:t xml:space="preserve">WWTF </w:t>
      </w:r>
      <w:r>
        <w:t>w</w:t>
      </w:r>
      <w:r w:rsidR="00B102D1">
        <w:t>astewater management measures suggested</w:t>
      </w:r>
      <w:r w:rsidR="00C4716F">
        <w:t xml:space="preserve"> by the </w:t>
      </w:r>
      <w:r w:rsidR="00C4716F" w:rsidRPr="0016741F">
        <w:t>Wastewater/Septic</w:t>
      </w:r>
      <w:r>
        <w:t xml:space="preserve"> </w:t>
      </w:r>
      <w:r w:rsidR="00C4716F">
        <w:t xml:space="preserve">Workgroup </w:t>
      </w:r>
      <w:r>
        <w:t>can be further subdivided into</w:t>
      </w:r>
      <w:r w:rsidR="00163662">
        <w:t xml:space="preserve"> those for</w:t>
      </w:r>
      <w:r>
        <w:t xml:space="preserve"> two types of wastewater</w:t>
      </w:r>
      <w:r w:rsidR="00377F13">
        <w:t xml:space="preserve"> improvements</w:t>
      </w:r>
      <w:r w:rsidR="00163662">
        <w:t xml:space="preserve"> – public wastewater systems and private system. </w:t>
      </w:r>
    </w:p>
    <w:p w14:paraId="3438B57E" w14:textId="06FD50A4" w:rsidR="00163662" w:rsidRDefault="00163662" w:rsidP="00163662">
      <w:pPr>
        <w:rPr>
          <w:szCs w:val="24"/>
        </w:rPr>
      </w:pPr>
      <w:r>
        <w:rPr>
          <w:szCs w:val="24"/>
        </w:rPr>
        <w:t xml:space="preserve">A </w:t>
      </w:r>
      <w:r w:rsidRPr="00F1798A">
        <w:rPr>
          <w:szCs w:val="24"/>
          <w:u w:val="single"/>
        </w:rPr>
        <w:t xml:space="preserve">public wastewater </w:t>
      </w:r>
      <w:r w:rsidRPr="00F1798A">
        <w:rPr>
          <w:iCs/>
          <w:szCs w:val="24"/>
          <w:u w:val="single"/>
        </w:rPr>
        <w:t>system</w:t>
      </w:r>
      <w:r>
        <w:rPr>
          <w:szCs w:val="24"/>
        </w:rPr>
        <w:t xml:space="preserve"> i</w:t>
      </w:r>
      <w:r w:rsidR="00500749">
        <w:rPr>
          <w:szCs w:val="24"/>
        </w:rPr>
        <w:t xml:space="preserve">s comprised of two components: </w:t>
      </w:r>
      <w:r>
        <w:rPr>
          <w:szCs w:val="24"/>
        </w:rPr>
        <w:t>the sanitary sewage collection system and the wastewater treatment facility (WWTF), which is the treatment pl</w:t>
      </w:r>
      <w:r w:rsidR="00500749">
        <w:rPr>
          <w:szCs w:val="24"/>
        </w:rPr>
        <w:t>ant itself. </w:t>
      </w:r>
      <w:r>
        <w:rPr>
          <w:szCs w:val="24"/>
        </w:rPr>
        <w:t xml:space="preserve">The collection system includes the sewer pipes, plus any lift (pump) stations out in the community </w:t>
      </w:r>
      <w:r>
        <w:rPr>
          <w:szCs w:val="24"/>
        </w:rPr>
        <w:lastRenderedPageBreak/>
        <w:t>that keep the wastewater flowing through the pipes, where g</w:t>
      </w:r>
      <w:r w:rsidR="00500749">
        <w:rPr>
          <w:szCs w:val="24"/>
        </w:rPr>
        <w:t xml:space="preserve">ravity flow is not sufficient. </w:t>
      </w:r>
      <w:r>
        <w:rPr>
          <w:szCs w:val="24"/>
        </w:rPr>
        <w:t xml:space="preserve">Treatment of the wastewater occurs at the WWTF, in sequential treatment steps and including a lift station to pump the wastewater to the plant’s treatment units.  </w:t>
      </w:r>
    </w:p>
    <w:p w14:paraId="7E977903" w14:textId="1D8E1FEF" w:rsidR="00163662" w:rsidRDefault="00163662" w:rsidP="00DD3B4C">
      <w:pPr>
        <w:rPr>
          <w:szCs w:val="24"/>
        </w:rPr>
      </w:pPr>
      <w:r>
        <w:rPr>
          <w:szCs w:val="24"/>
        </w:rPr>
        <w:t>The City of Anahuac and the Trinity Bay Conservation District (TBCD) each provide and maintain infrastructure for public wastewater systems in th</w:t>
      </w:r>
      <w:r w:rsidR="00500749">
        <w:rPr>
          <w:szCs w:val="24"/>
        </w:rPr>
        <w:t xml:space="preserve">e watershed. </w:t>
      </w:r>
      <w:r>
        <w:rPr>
          <w:szCs w:val="24"/>
        </w:rPr>
        <w:t xml:space="preserve">The </w:t>
      </w:r>
      <w:r w:rsidR="00086FE5">
        <w:rPr>
          <w:szCs w:val="24"/>
        </w:rPr>
        <w:t xml:space="preserve">clay pipe </w:t>
      </w:r>
      <w:r>
        <w:rPr>
          <w:szCs w:val="24"/>
        </w:rPr>
        <w:t>gravity sewer system t</w:t>
      </w:r>
      <w:r w:rsidR="0063677D">
        <w:rPr>
          <w:szCs w:val="24"/>
        </w:rPr>
        <w:t xml:space="preserve">hat collects wastewater within </w:t>
      </w:r>
      <w:r w:rsidR="00086FE5">
        <w:rPr>
          <w:szCs w:val="24"/>
        </w:rPr>
        <w:t xml:space="preserve">Anahuac </w:t>
      </w:r>
      <w:r>
        <w:rPr>
          <w:szCs w:val="24"/>
        </w:rPr>
        <w:t>is m</w:t>
      </w:r>
      <w:r w:rsidR="00086FE5">
        <w:rPr>
          <w:szCs w:val="24"/>
        </w:rPr>
        <w:t>aintained by the City</w:t>
      </w:r>
      <w:r>
        <w:rPr>
          <w:szCs w:val="24"/>
        </w:rPr>
        <w:t xml:space="preserve">, and that wastewater </w:t>
      </w:r>
      <w:r w:rsidR="00086FE5">
        <w:rPr>
          <w:szCs w:val="24"/>
        </w:rPr>
        <w:t xml:space="preserve">is treated at the Anahuac WWTF. It was noted by stakeholders that the clay pipe collection </w:t>
      </w:r>
      <w:r w:rsidR="00DD3B4C">
        <w:rPr>
          <w:szCs w:val="24"/>
        </w:rPr>
        <w:t xml:space="preserve">system is outdated and </w:t>
      </w:r>
      <w:r w:rsidR="00086FE5">
        <w:rPr>
          <w:szCs w:val="24"/>
        </w:rPr>
        <w:t xml:space="preserve">likely to cause I&amp;I and should be a </w:t>
      </w:r>
      <w:r w:rsidR="00DD3B4C">
        <w:rPr>
          <w:szCs w:val="24"/>
        </w:rPr>
        <w:t xml:space="preserve">high </w:t>
      </w:r>
      <w:r w:rsidR="00086FE5">
        <w:rPr>
          <w:szCs w:val="24"/>
        </w:rPr>
        <w:t xml:space="preserve">priority for replacement. </w:t>
      </w:r>
      <w:r>
        <w:rPr>
          <w:szCs w:val="24"/>
        </w:rPr>
        <w:t xml:space="preserve">TBCD collects wastewater from outside the watershed through a force main sewer system and delivers it to the Anahuac WWTF for treatment. Treated wastewater from the Anahuac WWTF is discharged to the Anahuac Ditch, a tributary of the West Fork of Double Bayou.  </w:t>
      </w:r>
    </w:p>
    <w:p w14:paraId="140A6AEB" w14:textId="3760E80B" w:rsidR="00163662" w:rsidRDefault="00163662" w:rsidP="00086FE5">
      <w:pPr>
        <w:rPr>
          <w:szCs w:val="24"/>
        </w:rPr>
      </w:pPr>
      <w:r>
        <w:rPr>
          <w:szCs w:val="24"/>
        </w:rPr>
        <w:t>TBCD also collects other wastewater from within the watershed, through a force main sewer system, but that wastewater goes to the Oak Island WWTF for treatment, and the treated wastewater is discharged to Trinity Bay, rather than to Double Bayou.</w:t>
      </w:r>
      <w:r w:rsidR="00086FE5">
        <w:rPr>
          <w:szCs w:val="24"/>
        </w:rPr>
        <w:t xml:space="preserve"> The Oak Island collection system consist of modern PVC pipe and is not likely to be associated with the I&amp;I issues that cause significant bacteria contributions to the bayous. </w:t>
      </w:r>
    </w:p>
    <w:p w14:paraId="2347EE41" w14:textId="0C0EC6C6" w:rsidR="00163662" w:rsidRDefault="00163662" w:rsidP="00163662">
      <w:pPr>
        <w:rPr>
          <w:szCs w:val="24"/>
        </w:rPr>
      </w:pPr>
      <w:r w:rsidRPr="00F1798A">
        <w:rPr>
          <w:u w:val="single"/>
        </w:rPr>
        <w:t>Private systems</w:t>
      </w:r>
      <w:r>
        <w:t xml:space="preserve"> are generally septic systems of various sorts, also called onsite sewage facilities, or </w:t>
      </w:r>
      <w:r w:rsidR="000D423C">
        <w:rPr>
          <w:szCs w:val="24"/>
        </w:rPr>
        <w:t xml:space="preserve">OSSFs. </w:t>
      </w:r>
      <w:r>
        <w:rPr>
          <w:szCs w:val="24"/>
        </w:rPr>
        <w:t>OSSFs provide minimal treatment in a tank, and then discharge the wastewater through or onto the ground for additional “natural” treatment.</w:t>
      </w:r>
      <w:r w:rsidR="000D423C">
        <w:rPr>
          <w:szCs w:val="24"/>
        </w:rPr>
        <w:t xml:space="preserve"> </w:t>
      </w:r>
      <w:r>
        <w:rPr>
          <w:szCs w:val="24"/>
        </w:rPr>
        <w:t>The two types of OSSFs used in the Double Bayou watershed are the conventional septic system and the aerobic septic system.</w:t>
      </w:r>
    </w:p>
    <w:p w14:paraId="198BE9B7" w14:textId="2E5030AF" w:rsidR="00163662" w:rsidRDefault="00163662" w:rsidP="00163662">
      <w:r>
        <w:t>The Wastewater/Septic Workgroup consisted of personnel from the City of Anahuac, the Trinity Bay Conservation District, Chambers County, and other interested citizens who were knowledgeable about the various wastewater systems in the watershed.</w:t>
      </w:r>
      <w:r w:rsidR="000D423C">
        <w:t xml:space="preserve"> </w:t>
      </w:r>
      <w:r>
        <w:t>Together, they developed the proposed management measures that stakeholders then approved to be included in this WPP.</w:t>
      </w:r>
    </w:p>
    <w:p w14:paraId="57519A87" w14:textId="11B34019" w:rsidR="00163662" w:rsidRDefault="00163662" w:rsidP="00A07866">
      <w:pPr>
        <w:pStyle w:val="Heading3"/>
        <w:numPr>
          <w:ilvl w:val="2"/>
          <w:numId w:val="25"/>
        </w:numPr>
      </w:pPr>
      <w:r>
        <w:t xml:space="preserve"> Wastewater Collection System Infrastructure Improvements </w:t>
      </w:r>
    </w:p>
    <w:p w14:paraId="0094483D" w14:textId="77777777" w:rsidR="00163662" w:rsidRDefault="00163662" w:rsidP="00163662">
      <w:r>
        <w:t>A number of BMPs are applicable for facilitating infrastructure improvements to the Anahuac wastewater collection system. The City of Anahuac was suggested as the lead entity to implement these management measures, which would be addressed by the Watershed Coordinator working with the WWTF system operator.</w:t>
      </w:r>
    </w:p>
    <w:p w14:paraId="53A3EA21" w14:textId="60873C3D" w:rsidR="00163662" w:rsidRDefault="00163662" w:rsidP="00163662">
      <w:r>
        <w:t>The key to improving the sewer system will be determining what is</w:t>
      </w:r>
      <w:r w:rsidR="000D423C">
        <w:t xml:space="preserve"> needed and where it is needed.</w:t>
      </w:r>
      <w:r>
        <w:t xml:space="preserve"> A leaky pipe system campaign was suggested as a first step to identify issues and sources of leaks in the City’s sanitary sewer system, including a sewer line test.  </w:t>
      </w:r>
    </w:p>
    <w:p w14:paraId="5259E701" w14:textId="77777777" w:rsidR="00163662" w:rsidRDefault="00163662" w:rsidP="00163662">
      <w:r>
        <w:t xml:space="preserve">As part of this campaign, grants for homeowner implementation will be sought for low-flow devices. Stakeholders noted that use of low-flow devices would need to be coordinated with the sewer line size and slope; otherwise, there may not be enough flow to wash out solids, which then could cause problems when there is Infiltration and Inflow (I&amp;I) that would wash the accumulated solids into the plant. </w:t>
      </w:r>
    </w:p>
    <w:p w14:paraId="5DFFEFB2" w14:textId="77777777" w:rsidR="00163662" w:rsidRDefault="00163662" w:rsidP="00163662">
      <w:r>
        <w:lastRenderedPageBreak/>
        <w:t>Another piece of the campaign would be the elimination of illicit connections. The Guidance Manual for Identifying and Eliminating Illicit Connections to Municipal Separate Storm Sewer Systems (MS4), prepared by the Galveston County Health District Pollution Control Division in cooperation with H-GAC, GBEP and TCEQ, could be used as a guidance manual to seek appropriate low budget solutions to potential high cost infrastructure issues.</w:t>
      </w:r>
    </w:p>
    <w:p w14:paraId="3E9B73CE" w14:textId="159373BD" w:rsidR="00163662" w:rsidRDefault="00163662" w:rsidP="00163662">
      <w:r>
        <w:t>Straight pipe discharges were also discussed as a possible sou</w:t>
      </w:r>
      <w:r w:rsidR="00294FF4">
        <w:t xml:space="preserve">rce of bacteria contributions. </w:t>
      </w:r>
      <w:r>
        <w:t xml:space="preserve">For within the city, stakeholders suggested working with homeowners to route straight pipe discharges (identified through the above methods) into the main city sewer line.  </w:t>
      </w:r>
    </w:p>
    <w:p w14:paraId="6CB66E24" w14:textId="2C218B84" w:rsidR="00163662" w:rsidRDefault="00163662" w:rsidP="00163662">
      <w:r>
        <w:t>Another resource is TCEQ’s Sanitary Sewer Overflow (SSO) initiative, which helps cities address problems with their collection systems that can lead to overflows of untreated sewage (https://www.tceq.t</w:t>
      </w:r>
      <w:r w:rsidR="000D423C">
        <w:t xml:space="preserve">exas.gov/field/ssoinitiative). </w:t>
      </w:r>
      <w:r>
        <w:t xml:space="preserve">A sanitary sewer overflow occurs when sewer lines are blocked, broken or aged to the point of allowing rain and groundwater to infiltrate into the pipes, which then breaches their designed capacity and </w:t>
      </w:r>
      <w:r w:rsidR="000D423C">
        <w:t xml:space="preserve">causes the system to overflow. </w:t>
      </w:r>
      <w:r>
        <w:t>The City of Anahuac is alread</w:t>
      </w:r>
      <w:r w:rsidR="00294FF4">
        <w:t xml:space="preserve">y enrolled in the SSO program. </w:t>
      </w:r>
      <w:r>
        <w:t>A benefit of targeting I&amp;I is that it may help to reduce the number and intensit</w:t>
      </w:r>
      <w:r w:rsidR="000D423C">
        <w:t>y of sanitary sewer overflows.</w:t>
      </w:r>
      <w:r>
        <w:t xml:space="preserve"> </w:t>
      </w:r>
    </w:p>
    <w:p w14:paraId="2DAC3FC8" w14:textId="77777777" w:rsidR="00163662" w:rsidRDefault="00163662" w:rsidP="00163662">
      <w:r>
        <w:t xml:space="preserve">The three key recommended management measures are: </w:t>
      </w:r>
    </w:p>
    <w:p w14:paraId="3C90EB85" w14:textId="6461E857" w:rsidR="00163662" w:rsidRDefault="00AF6407" w:rsidP="0026413C">
      <w:pPr>
        <w:pStyle w:val="ListParagraph"/>
        <w:numPr>
          <w:ilvl w:val="0"/>
          <w:numId w:val="19"/>
        </w:numPr>
      </w:pPr>
      <w:r w:rsidRPr="00AF6407">
        <w:rPr>
          <w:b/>
          <w:bCs/>
          <w:i/>
          <w:iCs/>
        </w:rPr>
        <w:t>Collection System S</w:t>
      </w:r>
      <w:r w:rsidR="00163662" w:rsidRPr="00AF6407">
        <w:rPr>
          <w:b/>
          <w:bCs/>
          <w:i/>
          <w:iCs/>
        </w:rPr>
        <w:t>tudy</w:t>
      </w:r>
      <w:r w:rsidR="00163662" w:rsidRPr="00AF6407">
        <w:rPr>
          <w:i/>
          <w:iCs/>
        </w:rPr>
        <w:t>:</w:t>
      </w:r>
      <w:r w:rsidR="00163662">
        <w:t xml:space="preserve"> A smoke test and the use of video lines to identity priority areas to target for repair or replacement. </w:t>
      </w:r>
    </w:p>
    <w:p w14:paraId="7B3E14DA" w14:textId="7E67CCA7" w:rsidR="00163662" w:rsidRDefault="00AF6407" w:rsidP="00F06026">
      <w:pPr>
        <w:pStyle w:val="ListParagraph"/>
        <w:numPr>
          <w:ilvl w:val="0"/>
          <w:numId w:val="19"/>
        </w:numPr>
      </w:pPr>
      <w:r>
        <w:rPr>
          <w:b/>
          <w:bCs/>
          <w:i/>
          <w:iCs/>
        </w:rPr>
        <w:t>Upgrade Collection S</w:t>
      </w:r>
      <w:r w:rsidR="00163662" w:rsidRPr="00AF6407">
        <w:rPr>
          <w:b/>
          <w:bCs/>
          <w:i/>
          <w:iCs/>
        </w:rPr>
        <w:t>ystem</w:t>
      </w:r>
      <w:r w:rsidR="00163662" w:rsidRPr="00AF6407">
        <w:rPr>
          <w:i/>
          <w:iCs/>
        </w:rPr>
        <w:t>:</w:t>
      </w:r>
      <w:r w:rsidR="00163662">
        <w:t xml:space="preserve"> Sanitary sewer line replacement and manhole cover replacement to prevent I&amp;I from overwhelming the sanitary sewer system. </w:t>
      </w:r>
    </w:p>
    <w:p w14:paraId="35491F8D" w14:textId="401C7E03" w:rsidR="000D423C" w:rsidRDefault="00AF6407" w:rsidP="00F06026">
      <w:pPr>
        <w:pStyle w:val="ListParagraph"/>
        <w:numPr>
          <w:ilvl w:val="0"/>
          <w:numId w:val="19"/>
        </w:numPr>
      </w:pPr>
      <w:r>
        <w:rPr>
          <w:b/>
          <w:bCs/>
          <w:i/>
          <w:iCs/>
        </w:rPr>
        <w:t>Lift Station U</w:t>
      </w:r>
      <w:r w:rsidR="00163662" w:rsidRPr="00AF6407">
        <w:rPr>
          <w:b/>
          <w:bCs/>
          <w:i/>
          <w:iCs/>
        </w:rPr>
        <w:t>pgrades</w:t>
      </w:r>
      <w:r w:rsidR="00163662" w:rsidRPr="00AF6407">
        <w:rPr>
          <w:i/>
          <w:iCs/>
        </w:rPr>
        <w:t>:</w:t>
      </w:r>
      <w:r w:rsidR="00163662">
        <w:t xml:space="preserve"> Utilizing bypass pumps that are less likely to fail in a peak flow situation than the current generators in use.</w:t>
      </w:r>
    </w:p>
    <w:p w14:paraId="67961204" w14:textId="05F3BC1B" w:rsidR="000D423C" w:rsidRDefault="000D423C" w:rsidP="007722CE">
      <w:pPr>
        <w:pStyle w:val="Heading3"/>
        <w:numPr>
          <w:ilvl w:val="2"/>
          <w:numId w:val="26"/>
        </w:numPr>
      </w:pPr>
      <w:r>
        <w:t>Wastewater Management Measures for WWTF Operations</w:t>
      </w:r>
    </w:p>
    <w:p w14:paraId="734E9C02" w14:textId="77777777" w:rsidR="000D423C" w:rsidRDefault="000D423C" w:rsidP="000D423C">
      <w:r>
        <w:t xml:space="preserve">The stakeholders recommended the following as wastewater </w:t>
      </w:r>
      <w:commentRangeStart w:id="4"/>
      <w:r>
        <w:t>treatment</w:t>
      </w:r>
      <w:commentRangeEnd w:id="4"/>
      <w:r w:rsidR="00151BE6">
        <w:rPr>
          <w:rStyle w:val="CommentReference"/>
        </w:rPr>
        <w:commentReference w:id="4"/>
      </w:r>
      <w:r>
        <w:t xml:space="preserve"> facility management measures for plant operations:</w:t>
      </w:r>
    </w:p>
    <w:p w14:paraId="60522BB6" w14:textId="77777777" w:rsidR="000D423C" w:rsidRDefault="000D423C" w:rsidP="00873B3A">
      <w:pPr>
        <w:pStyle w:val="ListParagraph"/>
        <w:numPr>
          <w:ilvl w:val="0"/>
          <w:numId w:val="20"/>
        </w:numPr>
      </w:pPr>
      <w:r w:rsidRPr="00AF6407">
        <w:rPr>
          <w:b/>
          <w:bCs/>
          <w:i/>
          <w:iCs/>
        </w:rPr>
        <w:t>Staffing Capacity</w:t>
      </w:r>
      <w:r w:rsidRPr="00AF6407">
        <w:rPr>
          <w:i/>
          <w:iCs/>
        </w:rPr>
        <w:t>:</w:t>
      </w:r>
      <w:r>
        <w:t xml:space="preserve"> Increasing the staffing capacity at the Anahuac WWTF will allow for conducting routine inspections of the plant, as well as of the sanitary sewer line system.  </w:t>
      </w:r>
    </w:p>
    <w:p w14:paraId="0E614FEB" w14:textId="19D9D5AC" w:rsidR="000D423C" w:rsidRDefault="00AF6407" w:rsidP="00A7763E">
      <w:pPr>
        <w:pStyle w:val="ListParagraph"/>
        <w:numPr>
          <w:ilvl w:val="0"/>
          <w:numId w:val="20"/>
        </w:numPr>
      </w:pPr>
      <w:r w:rsidRPr="00AF6407">
        <w:rPr>
          <w:b/>
          <w:bCs/>
          <w:i/>
          <w:iCs/>
        </w:rPr>
        <w:t>Wire T</w:t>
      </w:r>
      <w:r w:rsidR="000D423C" w:rsidRPr="00AF6407">
        <w:rPr>
          <w:b/>
          <w:bCs/>
          <w:i/>
          <w:iCs/>
        </w:rPr>
        <w:t>hefts/Security</w:t>
      </w:r>
      <w:r w:rsidR="000D423C" w:rsidRPr="00AF6407">
        <w:rPr>
          <w:i/>
          <w:iCs/>
        </w:rPr>
        <w:t>:</w:t>
      </w:r>
      <w:r w:rsidR="000D423C">
        <w:t xml:space="preserve"> Wire thefts that have occurred in the past will be prevented with the use of surveillance cameras. Several thefts of wire from the plant have caused operational delays.</w:t>
      </w:r>
    </w:p>
    <w:p w14:paraId="465F11E1" w14:textId="3055853D" w:rsidR="000D423C" w:rsidRDefault="00AF6407" w:rsidP="00A7763E">
      <w:pPr>
        <w:pStyle w:val="ListParagraph"/>
        <w:numPr>
          <w:ilvl w:val="0"/>
          <w:numId w:val="20"/>
        </w:numPr>
      </w:pPr>
      <w:r w:rsidRPr="00AF6407">
        <w:rPr>
          <w:b/>
          <w:bCs/>
          <w:i/>
          <w:iCs/>
        </w:rPr>
        <w:t>Pump Repair and R</w:t>
      </w:r>
      <w:r w:rsidR="000D423C" w:rsidRPr="00AF6407">
        <w:rPr>
          <w:b/>
          <w:bCs/>
          <w:i/>
          <w:iCs/>
        </w:rPr>
        <w:t>eplacement</w:t>
      </w:r>
      <w:r w:rsidR="000D423C" w:rsidRPr="00AF6407">
        <w:rPr>
          <w:i/>
          <w:iCs/>
        </w:rPr>
        <w:t>:</w:t>
      </w:r>
      <w:r w:rsidR="000D423C">
        <w:t xml:space="preserve"> High priority for the plant</w:t>
      </w:r>
      <w:r w:rsidR="003F44BE">
        <w:t>.</w:t>
      </w:r>
    </w:p>
    <w:p w14:paraId="722F6DF3" w14:textId="483DCD7D" w:rsidR="0038348E" w:rsidRDefault="000D423C" w:rsidP="000D423C">
      <w:r>
        <w:t>PLACEHOLDER: Plant Capacity KL</w:t>
      </w:r>
      <w:r w:rsidR="007D4AD1">
        <w:t>KL</w:t>
      </w:r>
    </w:p>
    <w:p w14:paraId="5FA6C08F" w14:textId="0542D9A0" w:rsidR="003F44BE" w:rsidRDefault="003F44BE" w:rsidP="003F44BE">
      <w:r>
        <w:t xml:space="preserve">The Anahuac WWTF is large enough to treat the daily average flow as well as the 2 hour peak flow. </w:t>
      </w:r>
    </w:p>
    <w:p w14:paraId="70A39195" w14:textId="77777777" w:rsidR="003F44BE" w:rsidRDefault="003F44BE" w:rsidP="003F44BE"/>
    <w:p w14:paraId="3E0E2689" w14:textId="4002C839" w:rsidR="009351DC" w:rsidRDefault="009351DC" w:rsidP="007F1F9F">
      <w:pPr>
        <w:pStyle w:val="Heading3"/>
        <w:numPr>
          <w:ilvl w:val="2"/>
          <w:numId w:val="28"/>
        </w:numPr>
      </w:pPr>
      <w:bookmarkStart w:id="5" w:name="_Toc421172296"/>
      <w:r>
        <w:lastRenderedPageBreak/>
        <w:t>Septic Systems Management Measures</w:t>
      </w:r>
      <w:bookmarkEnd w:id="5"/>
      <w:r>
        <w:t xml:space="preserve"> </w:t>
      </w:r>
    </w:p>
    <w:p w14:paraId="6D562062" w14:textId="402025F6" w:rsidR="000D423C" w:rsidRDefault="000D423C" w:rsidP="000D423C">
      <w:r>
        <w:t>The stakeholders recommended the following septic system management measures be performed under a septic system review and inspection initiative:</w:t>
      </w:r>
    </w:p>
    <w:p w14:paraId="53FCBD7B" w14:textId="77777777" w:rsidR="000D423C" w:rsidRDefault="000D423C" w:rsidP="00D6010F">
      <w:pPr>
        <w:pStyle w:val="ListParagraph"/>
        <w:numPr>
          <w:ilvl w:val="0"/>
          <w:numId w:val="21"/>
        </w:numPr>
      </w:pPr>
      <w:r w:rsidRPr="00AF6407">
        <w:rPr>
          <w:b/>
          <w:bCs/>
          <w:i/>
          <w:iCs/>
        </w:rPr>
        <w:t>Identify OSSFs in watershed; develop and maintain an OSSF database</w:t>
      </w:r>
      <w:r w:rsidRPr="00AF6407">
        <w:rPr>
          <w:i/>
          <w:iCs/>
        </w:rPr>
        <w:t>:</w:t>
      </w:r>
      <w:r>
        <w:t xml:space="preserve"> This database was begun with the help of stakeholders and the geographic task force (see Chapter 2.4.2); the database includes location and general ages of septic systems in the watershed.</w:t>
      </w:r>
    </w:p>
    <w:p w14:paraId="3176F72F" w14:textId="507F612B" w:rsidR="000D423C" w:rsidRDefault="00AF6407" w:rsidP="000D423C">
      <w:pPr>
        <w:pStyle w:val="ListParagraph"/>
        <w:numPr>
          <w:ilvl w:val="0"/>
          <w:numId w:val="21"/>
        </w:numPr>
      </w:pPr>
      <w:r>
        <w:rPr>
          <w:b/>
          <w:bCs/>
          <w:i/>
          <w:iCs/>
        </w:rPr>
        <w:t>Continued Enforcement of Septic S</w:t>
      </w:r>
      <w:r w:rsidR="000D423C" w:rsidRPr="00AF6407">
        <w:rPr>
          <w:b/>
          <w:bCs/>
          <w:i/>
          <w:iCs/>
        </w:rPr>
        <w:t xml:space="preserve">ystem </w:t>
      </w:r>
      <w:r>
        <w:rPr>
          <w:b/>
          <w:bCs/>
          <w:i/>
          <w:iCs/>
        </w:rPr>
        <w:t>C</w:t>
      </w:r>
      <w:r w:rsidR="000D423C" w:rsidRPr="00AF6407">
        <w:rPr>
          <w:b/>
          <w:bCs/>
          <w:i/>
          <w:iCs/>
        </w:rPr>
        <w:t>omplaints</w:t>
      </w:r>
      <w:r w:rsidR="000D423C" w:rsidRPr="00AF6407">
        <w:rPr>
          <w:i/>
          <w:iCs/>
        </w:rPr>
        <w:t>:</w:t>
      </w:r>
      <w:r w:rsidR="000D423C">
        <w:t xml:space="preserve"> Ensure current program response can expand with population growth.</w:t>
      </w:r>
    </w:p>
    <w:p w14:paraId="11B311E5" w14:textId="2EB467A0" w:rsidR="000D423C" w:rsidRDefault="00AF6407" w:rsidP="000D423C">
      <w:pPr>
        <w:pStyle w:val="ListParagraph"/>
        <w:numPr>
          <w:ilvl w:val="0"/>
          <w:numId w:val="21"/>
        </w:numPr>
      </w:pPr>
      <w:r w:rsidRPr="00AF6407">
        <w:rPr>
          <w:b/>
          <w:bCs/>
          <w:i/>
          <w:iCs/>
        </w:rPr>
        <w:t>Increase Septic System Inspection C</w:t>
      </w:r>
      <w:r w:rsidR="000D423C" w:rsidRPr="00AF6407">
        <w:rPr>
          <w:b/>
          <w:bCs/>
          <w:i/>
          <w:iCs/>
        </w:rPr>
        <w:t>apacity</w:t>
      </w:r>
      <w:r w:rsidR="000D423C" w:rsidRPr="00AF6407">
        <w:rPr>
          <w:i/>
          <w:iCs/>
        </w:rPr>
        <w:t>:</w:t>
      </w:r>
      <w:r w:rsidR="000D423C">
        <w:t xml:space="preserve"> Include relief lines. </w:t>
      </w:r>
    </w:p>
    <w:p w14:paraId="1DC2400E" w14:textId="721EB9AF" w:rsidR="000D423C" w:rsidRDefault="000D423C" w:rsidP="000D423C">
      <w:r>
        <w:t>Additionally, the stakeholders suggested that connecting more homes that are currently on septic to a public wastewater system could reduce the amount of nonpoint source bacteria contributions from aging septic systems. The Trinity Bay Conservation District (TBCD) was identified as a possible lead entity for this initiative in the Double Bayou Watershed. The stakeholders identified some priority areas that would be optimal for new wastewater infrastructure</w:t>
      </w:r>
      <w:r w:rsidR="00457D00">
        <w:t xml:space="preserve"> (</w:t>
      </w:r>
      <w:r w:rsidR="00457D00">
        <w:fldChar w:fldCharType="begin"/>
      </w:r>
      <w:r w:rsidR="00457D00">
        <w:instrText xml:space="preserve"> REF _Ref426969716 \h </w:instrText>
      </w:r>
      <w:r w:rsidR="00457D00">
        <w:fldChar w:fldCharType="separate"/>
      </w:r>
      <w:r w:rsidR="00457D00">
        <w:t>Table 6-</w:t>
      </w:r>
      <w:r w:rsidR="00457D00">
        <w:rPr>
          <w:noProof/>
        </w:rPr>
        <w:t>1</w:t>
      </w:r>
      <w:r w:rsidR="00457D00">
        <w:t xml:space="preserve"> Double Bayou Watershed septic systems</w:t>
      </w:r>
      <w:r w:rsidR="00457D00">
        <w:fldChar w:fldCharType="end"/>
      </w:r>
      <w:r w:rsidR="00457D00">
        <w:t>)</w:t>
      </w:r>
      <w:r>
        <w:t xml:space="preserve">. </w:t>
      </w:r>
    </w:p>
    <w:p w14:paraId="70D66F9C" w14:textId="77777777" w:rsidR="00457D00" w:rsidRDefault="00457D00" w:rsidP="00457D00">
      <w:pPr>
        <w:keepNext/>
        <w:jc w:val="center"/>
      </w:pPr>
      <w:r w:rsidRPr="00457D00">
        <w:rPr>
          <w:noProof/>
          <w:lang w:eastAsia="en-US"/>
        </w:rPr>
        <w:lastRenderedPageBreak/>
        <w:drawing>
          <wp:inline distT="0" distB="0" distL="0" distR="0" wp14:anchorId="5719609F" wp14:editId="781D1144">
            <wp:extent cx="4626610" cy="5552749"/>
            <wp:effectExtent l="0" t="0" r="254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0880" cy="5557873"/>
                    </a:xfrm>
                    <a:prstGeom prst="rect">
                      <a:avLst/>
                    </a:prstGeom>
                    <a:noFill/>
                    <a:ln>
                      <a:noFill/>
                    </a:ln>
                  </pic:spPr>
                </pic:pic>
              </a:graphicData>
            </a:graphic>
          </wp:inline>
        </w:drawing>
      </w:r>
    </w:p>
    <w:p w14:paraId="41FABB64" w14:textId="7527522E" w:rsidR="00457D00" w:rsidRDefault="00457D00" w:rsidP="00457D00">
      <w:pPr>
        <w:pStyle w:val="Caption"/>
        <w:jc w:val="center"/>
      </w:pPr>
      <w:bookmarkStart w:id="6" w:name="_Ref426969716"/>
      <w:r>
        <w:t>Table 6-</w:t>
      </w:r>
      <w:r w:rsidR="00780B68">
        <w:fldChar w:fldCharType="begin"/>
      </w:r>
      <w:r w:rsidR="00780B68">
        <w:instrText xml:space="preserve"> SEQ Table_6- \* ARABIC </w:instrText>
      </w:r>
      <w:r w:rsidR="00780B68">
        <w:fldChar w:fldCharType="separate"/>
      </w:r>
      <w:r w:rsidR="00530B01">
        <w:rPr>
          <w:noProof/>
        </w:rPr>
        <w:t>1</w:t>
      </w:r>
      <w:r w:rsidR="00780B68">
        <w:rPr>
          <w:noProof/>
        </w:rPr>
        <w:fldChar w:fldCharType="end"/>
      </w:r>
      <w:r>
        <w:t xml:space="preserve"> Double Bayou Watershed septic systems</w:t>
      </w:r>
      <w:bookmarkEnd w:id="6"/>
    </w:p>
    <w:p w14:paraId="030FAC05" w14:textId="2C279F7B" w:rsidR="00C237D4" w:rsidRDefault="0014762D" w:rsidP="00761623">
      <w:r>
        <w:t>To better understand and pinpoint the approiate subwatersheds to implement and seek funding for the maintenance and replacement of septic systems</w:t>
      </w:r>
      <w:r w:rsidR="00780B68">
        <w:t>,</w:t>
      </w:r>
      <w:r>
        <w:t xml:space="preserve"> the total number of septic systems per subwatershed was identified using ArcGIS. The number of failing systems per subwatershed was </w:t>
      </w:r>
      <w:r w:rsidR="008869FC">
        <w:t xml:space="preserve">derived from the age </w:t>
      </w:r>
      <w:r>
        <w:t xml:space="preserve">set by the stakeholders. Because septic systems that are in close proximity (1,000 feet) to the bayous and the Anahuac Ditch pose a higher risk of increased bacteria contributions to the waterways they were also identified by applying a 1,000 foot buffer. </w:t>
      </w:r>
      <w:r w:rsidR="00780B68">
        <w:t>(see Chapter 5, Section 5.7.2 for detailed discussion on age and placement of septic systems)</w:t>
      </w:r>
      <w:bookmarkStart w:id="7" w:name="_GoBack"/>
      <w:bookmarkEnd w:id="7"/>
      <w:r>
        <w:t xml:space="preserve"> </w:t>
      </w:r>
    </w:p>
    <w:p w14:paraId="5366E46D" w14:textId="45291F4E" w:rsidR="00CC5103" w:rsidRDefault="00DE3AE9" w:rsidP="007F1F9F">
      <w:pPr>
        <w:pStyle w:val="Heading3"/>
        <w:numPr>
          <w:ilvl w:val="2"/>
          <w:numId w:val="29"/>
        </w:numPr>
      </w:pPr>
      <w:bookmarkStart w:id="8" w:name="_Toc421172297"/>
      <w:r>
        <w:t xml:space="preserve">Agricultural </w:t>
      </w:r>
      <w:r w:rsidR="00C5550D">
        <w:t xml:space="preserve">Nonpoint Source </w:t>
      </w:r>
      <w:r>
        <w:t>Management Measures</w:t>
      </w:r>
      <w:bookmarkEnd w:id="8"/>
      <w:r>
        <w:t xml:space="preserve"> </w:t>
      </w:r>
    </w:p>
    <w:p w14:paraId="712C0117" w14:textId="1A70ED13" w:rsidR="002E3642" w:rsidRDefault="002E3642" w:rsidP="002E3642">
      <w:r>
        <w:t xml:space="preserve">The Agriculture/Wildlife/Feral Hogs Workgroup recommended many agricultural best management practices (BMP) that could be used to address all potential agriculture related sources of bacteria. It was agreed that voluntary site specific management plans were the best </w:t>
      </w:r>
      <w:r>
        <w:lastRenderedPageBreak/>
        <w:t xml:space="preserve">method of implementing these on local farms and ranches. Water Quality Management Plans </w:t>
      </w:r>
      <w:commentRangeStart w:id="9"/>
      <w:r>
        <w:t xml:space="preserve">(WQMPs) </w:t>
      </w:r>
      <w:commentRangeEnd w:id="9"/>
      <w:r w:rsidR="00000E37">
        <w:rPr>
          <w:rStyle w:val="CommentReference"/>
        </w:rPr>
        <w:commentReference w:id="9"/>
      </w:r>
      <w:r>
        <w:t xml:space="preserve">are site-specific plans designed to reduce nonpoint source runoff from silvicultural and agricultural land uses. The plans are supported by the </w:t>
      </w:r>
      <w:commentRangeStart w:id="10"/>
      <w:r>
        <w:t>Trinity</w:t>
      </w:r>
      <w:commentRangeEnd w:id="10"/>
      <w:r w:rsidR="00086FE5">
        <w:rPr>
          <w:rStyle w:val="CommentReference"/>
        </w:rPr>
        <w:commentReference w:id="10"/>
      </w:r>
      <w:r>
        <w:t xml:space="preserve"> Bay Soil and Water Conservation District #434 (SWCD) and </w:t>
      </w:r>
      <w:r w:rsidR="007D4AD1">
        <w:t>T</w:t>
      </w:r>
      <w:r w:rsidR="00D46B3D">
        <w:t>SSWCB</w:t>
      </w:r>
      <w:r>
        <w:t xml:space="preserve">. </w:t>
      </w:r>
      <w:r w:rsidR="007D4AD1" w:rsidRPr="007D4AD1">
        <w:t xml:space="preserve">To receive financial incentives from TSSWCB, the landowner must </w:t>
      </w:r>
      <w:r w:rsidR="007D4AD1">
        <w:t>develop a WQMP with the SWCD</w:t>
      </w:r>
      <w:r w:rsidR="007D4AD1" w:rsidRPr="007D4AD1">
        <w:t xml:space="preserve"> that is customized to fi</w:t>
      </w:r>
      <w:r w:rsidR="00500749">
        <w:t>t the needs of their operation.</w:t>
      </w:r>
      <w:r w:rsidR="007D4AD1" w:rsidRPr="007D4AD1">
        <w:t xml:space="preserve"> The</w:t>
      </w:r>
      <w:r w:rsidR="00500749">
        <w:t xml:space="preserve"> Natural Resources Conservation Service</w:t>
      </w:r>
      <w:r w:rsidR="007D4AD1" w:rsidRPr="007D4AD1">
        <w:t xml:space="preserve"> </w:t>
      </w:r>
      <w:r w:rsidR="00500749">
        <w:t>(</w:t>
      </w:r>
      <w:r w:rsidR="007D4AD1" w:rsidRPr="007D4AD1">
        <w:t>NRCS</w:t>
      </w:r>
      <w:r w:rsidR="00500749">
        <w:t>)</w:t>
      </w:r>
      <w:r w:rsidR="007D4AD1">
        <w:t xml:space="preserve"> also</w:t>
      </w:r>
      <w:r w:rsidR="007D4AD1" w:rsidRPr="007D4AD1">
        <w:t xml:space="preserve"> offers</w:t>
      </w:r>
      <w:r w:rsidR="007D4AD1">
        <w:t xml:space="preserve"> guidance and</w:t>
      </w:r>
      <w:r w:rsidR="007D4AD1" w:rsidRPr="007D4AD1">
        <w:t xml:space="preserve"> options for development and implementation of both individual practices and w</w:t>
      </w:r>
      <w:r w:rsidR="007D4AD1">
        <w:t xml:space="preserve">hole farm conservation plans.  </w:t>
      </w:r>
      <w:r>
        <w:t xml:space="preserve">The landowners, in partnership with the SWCD and the WQMP Technician, would be lead entities for implementing the best management practices detailed in each WQMP. One benefit of the WQMPs is that an individual BMP can help to reduce contributions from several different sources. Each WQMP needs to be developed and certified in order to receive funding to implement the BMPs describe in the WQMP. </w:t>
      </w:r>
    </w:p>
    <w:p w14:paraId="4032C4C5" w14:textId="104A8775" w:rsidR="002E3642" w:rsidRDefault="002E3642" w:rsidP="002E3642">
      <w:r>
        <w:t>The stakeholders suggested that the creation of a WQMP Technician position could support plan development in the watershed. This position would be dedicated to assisting landowners in the creation and implementation of the WQMPs. Because a number of WQMPs are already certified in the watershed, the WQMP Technician will not only focus on enrolling more landowners, but will place an emphasis on WQMP plan updates, as well. The technician would be involved in writing, planning and promotion of the WQMPs. In addition, the technician would help secure potential funding for current and new WQMPs. Working together, the WQMP Technician and Watershed Coordinator could</w:t>
      </w:r>
      <w:r w:rsidRPr="00FB525B">
        <w:t xml:space="preserve"> organize and host workshops, </w:t>
      </w:r>
      <w:r>
        <w:t>and coordinate with Texas A&amp;M AgriLife Exten</w:t>
      </w:r>
      <w:r w:rsidR="00000E37">
        <w:t xml:space="preserve">sion on any relevant programs. </w:t>
      </w:r>
      <w:r>
        <w:t>The WQMP Technician will likely be stationed in Anahuac, and employed by the Trinity Bay SWCD.</w:t>
      </w:r>
    </w:p>
    <w:p w14:paraId="154A3915" w14:textId="7B01D5E9" w:rsidR="00C148D7" w:rsidRDefault="00C148D7" w:rsidP="007F1F9F">
      <w:pPr>
        <w:pStyle w:val="Heading3"/>
        <w:numPr>
          <w:ilvl w:val="2"/>
          <w:numId w:val="30"/>
        </w:numPr>
      </w:pPr>
      <w:bookmarkStart w:id="11" w:name="_Toc421172298"/>
      <w:r>
        <w:t>Livestock Operations</w:t>
      </w:r>
      <w:bookmarkEnd w:id="11"/>
    </w:p>
    <w:p w14:paraId="5481770D" w14:textId="699E5799" w:rsidR="00457D00" w:rsidRDefault="0055477D" w:rsidP="008869FC">
      <w:r>
        <w:t>The average farm size in Chambers County was determined to be 346 acres</w:t>
      </w:r>
      <w:r w:rsidR="00F03208">
        <w:t>,</w:t>
      </w:r>
      <w:r>
        <w:t xml:space="preserve"> according to the </w:t>
      </w:r>
      <w:r w:rsidR="009D2C50">
        <w:t xml:space="preserve">2012 </w:t>
      </w:r>
      <w:r w:rsidR="002E3642">
        <w:t>USDA</w:t>
      </w:r>
      <w:r w:rsidR="00F03208" w:rsidRPr="00F03208">
        <w:t xml:space="preserve"> </w:t>
      </w:r>
      <w:r w:rsidR="00F03208">
        <w:t>N</w:t>
      </w:r>
      <w:r w:rsidR="00F03208" w:rsidRPr="00F03208">
        <w:t>ational Agricultural Statistics Service</w:t>
      </w:r>
      <w:r w:rsidR="00F03208">
        <w:t xml:space="preserve"> (</w:t>
      </w:r>
      <w:r w:rsidR="002E3642">
        <w:t>NASS</w:t>
      </w:r>
      <w:r w:rsidR="00F03208">
        <w:t>)</w:t>
      </w:r>
      <w:r w:rsidR="002E3642">
        <w:t xml:space="preserve"> </w:t>
      </w:r>
      <w:r>
        <w:t xml:space="preserve">census of agriculture. An </w:t>
      </w:r>
      <w:r w:rsidR="00E646BC">
        <w:t xml:space="preserve">average </w:t>
      </w:r>
      <w:r>
        <w:t>animal unit of 38 was calculate</w:t>
      </w:r>
      <w:r w:rsidR="002F1976">
        <w:t>d per farm in Chambers County; b</w:t>
      </w:r>
      <w:r>
        <w:t xml:space="preserve">ased on the number of farming operations and </w:t>
      </w:r>
      <w:r w:rsidR="00E646BC">
        <w:t xml:space="preserve">cumulative </w:t>
      </w:r>
      <w:r>
        <w:t>number of cattle, calves and horses per each operation in the county. The number of total animal units (cattle and horses) in each subwatershed of Double Bayou was generated using the SELECT model</w:t>
      </w:r>
      <w:r w:rsidR="00304CC7">
        <w:t xml:space="preserve"> (</w:t>
      </w:r>
      <w:r w:rsidR="00304CC7">
        <w:fldChar w:fldCharType="begin"/>
      </w:r>
      <w:r w:rsidR="00304CC7">
        <w:instrText xml:space="preserve"> REF _Ref421190384 \h </w:instrText>
      </w:r>
      <w:r w:rsidR="00304CC7">
        <w:fldChar w:fldCharType="separate"/>
      </w:r>
      <w:r w:rsidR="00153D09">
        <w:t>Figure 6-</w:t>
      </w:r>
      <w:r w:rsidR="00153D09">
        <w:rPr>
          <w:noProof/>
        </w:rPr>
        <w:t>1</w:t>
      </w:r>
      <w:r w:rsidR="00153D09">
        <w:t xml:space="preserve"> Double Bayou subwatersheds</w:t>
      </w:r>
      <w:r w:rsidR="00304CC7">
        <w:fldChar w:fldCharType="end"/>
      </w:r>
      <w:r w:rsidR="00304CC7">
        <w:t>)</w:t>
      </w:r>
      <w:r>
        <w:t xml:space="preserve">. The total number of animal units per subwatershed was then </w:t>
      </w:r>
      <w:r w:rsidR="009355F1">
        <w:t xml:space="preserve">divided </w:t>
      </w:r>
      <w:r>
        <w:t xml:space="preserve">by the </w:t>
      </w:r>
      <w:r w:rsidR="009355F1">
        <w:t xml:space="preserve">number of animal units per farm in Chambers County (38 AU). </w:t>
      </w:r>
      <w:r w:rsidR="00817F1E">
        <w:t>From this calculation the number of farms per subwatershed was derived (</w:t>
      </w:r>
      <w:r w:rsidR="00817F1E">
        <w:fldChar w:fldCharType="begin"/>
      </w:r>
      <w:r w:rsidR="00817F1E">
        <w:instrText xml:space="preserve"> REF _Ref421886296 \h </w:instrText>
      </w:r>
      <w:r w:rsidR="00817F1E">
        <w:fldChar w:fldCharType="separate"/>
      </w:r>
      <w:r w:rsidR="00153D09">
        <w:t>Table 6</w:t>
      </w:r>
      <w:r w:rsidR="00153D09">
        <w:noBreakHyphen/>
      </w:r>
      <w:r w:rsidR="00153D09">
        <w:rPr>
          <w:noProof/>
        </w:rPr>
        <w:t>1 Recommended number of WQMPs</w:t>
      </w:r>
      <w:r w:rsidR="00817F1E">
        <w:fldChar w:fldCharType="end"/>
      </w:r>
      <w:r w:rsidR="00817F1E">
        <w:t>).</w:t>
      </w:r>
      <w:r w:rsidR="009355F1">
        <w:t xml:space="preserve"> </w:t>
      </w:r>
      <w:r w:rsidR="00A322FC">
        <w:t>(Note that in the following sections, the “high” scenarios (see Chapter 5 for the SELECT scenarios discussion) were used for analyzing load reductions so that the recommended management measures would be able to minimize loads for the highest scenarios.)</w:t>
      </w:r>
    </w:p>
    <w:p w14:paraId="1AECB6C2" w14:textId="7A9384E3" w:rsidR="00D071B1" w:rsidRPr="008869FC" w:rsidRDefault="00457D00" w:rsidP="008869FC">
      <w:pPr>
        <w:rPr>
          <w:color w:val="auto"/>
          <w:sz w:val="22"/>
        </w:rPr>
      </w:pPr>
      <w:r>
        <w:rPr>
          <w:noProof/>
          <w:lang w:eastAsia="en-US"/>
        </w:rPr>
        <w:lastRenderedPageBreak/>
        <w:drawing>
          <wp:anchor distT="0" distB="0" distL="114300" distR="114300" simplePos="0" relativeHeight="251659264" behindDoc="0" locked="0" layoutInCell="1" allowOverlap="1" wp14:anchorId="5742BA1F" wp14:editId="1FF041F9">
            <wp:simplePos x="0" y="0"/>
            <wp:positionH relativeFrom="margin">
              <wp:align>center</wp:align>
            </wp:positionH>
            <wp:positionV relativeFrom="paragraph">
              <wp:posOffset>168275</wp:posOffset>
            </wp:positionV>
            <wp:extent cx="4288155" cy="5220970"/>
            <wp:effectExtent l="0" t="0" r="0" b="0"/>
            <wp:wrapTopAndBottom/>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Subwatershedsfigure.png"/>
                    <pic:cNvPicPr preferRelativeResize="0"/>
                  </pic:nvPicPr>
                  <pic:blipFill rotWithShape="1">
                    <a:blip r:embed="rId11" cstate="print">
                      <a:extLst>
                        <a:ext uri="{28A0092B-C50C-407E-A947-70E740481C1C}">
                          <a14:useLocalDpi xmlns:a14="http://schemas.microsoft.com/office/drawing/2010/main" val="0"/>
                        </a:ext>
                      </a:extLst>
                    </a:blip>
                    <a:srcRect b="6588"/>
                    <a:stretch/>
                  </pic:blipFill>
                  <pic:spPr bwMode="auto">
                    <a:xfrm>
                      <a:off x="0" y="0"/>
                      <a:ext cx="4288155" cy="522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CC7">
        <w:rPr>
          <w:noProof/>
          <w:lang w:eastAsia="en-US"/>
        </w:rPr>
        <mc:AlternateContent>
          <mc:Choice Requires="wps">
            <w:drawing>
              <wp:anchor distT="0" distB="0" distL="114300" distR="114300" simplePos="0" relativeHeight="251661312" behindDoc="0" locked="0" layoutInCell="1" allowOverlap="1" wp14:anchorId="4734B7E2" wp14:editId="2BF682CC">
                <wp:simplePos x="0" y="0"/>
                <wp:positionH relativeFrom="column">
                  <wp:posOffset>828040</wp:posOffset>
                </wp:positionH>
                <wp:positionV relativeFrom="paragraph">
                  <wp:posOffset>5460365</wp:posOffset>
                </wp:positionV>
                <wp:extent cx="4288155"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288155" cy="635"/>
                        </a:xfrm>
                        <a:prstGeom prst="rect">
                          <a:avLst/>
                        </a:prstGeom>
                        <a:solidFill>
                          <a:prstClr val="white"/>
                        </a:solidFill>
                        <a:ln>
                          <a:noFill/>
                        </a:ln>
                        <a:effectLst/>
                      </wps:spPr>
                      <wps:txbx>
                        <w:txbxContent>
                          <w:p w14:paraId="7CB1CC9E" w14:textId="04B3F38E" w:rsidR="00304CC7" w:rsidRPr="00A07866" w:rsidRDefault="00A07866" w:rsidP="00A07866">
                            <w:pPr>
                              <w:pStyle w:val="Caption"/>
                              <w:jc w:val="center"/>
                            </w:pPr>
                            <w:bookmarkStart w:id="12" w:name="_Ref421190384"/>
                            <w:r>
                              <w:t>Figure 6</w:t>
                            </w:r>
                            <w:r w:rsidR="002741F4">
                              <w:t>-</w:t>
                            </w:r>
                            <w:r w:rsidR="00780B68">
                              <w:fldChar w:fldCharType="begin"/>
                            </w:r>
                            <w:r w:rsidR="00780B68">
                              <w:instrText xml:space="preserve"> SEQ Figure_7- \* ARABIC </w:instrText>
                            </w:r>
                            <w:r w:rsidR="00780B68">
                              <w:fldChar w:fldCharType="separate"/>
                            </w:r>
                            <w:r w:rsidR="00153D09">
                              <w:rPr>
                                <w:noProof/>
                              </w:rPr>
                              <w:t>1</w:t>
                            </w:r>
                            <w:r w:rsidR="00780B68">
                              <w:rPr>
                                <w:noProof/>
                              </w:rPr>
                              <w:fldChar w:fldCharType="end"/>
                            </w:r>
                            <w:r w:rsidR="00304CC7">
                              <w:t xml:space="preserve"> Double Bayou subwatersheds</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734B7E2" id="_x0000_t202" coordsize="21600,21600" o:spt="202" path="m,l,21600r21600,l21600,xe">
                <v:stroke joinstyle="miter"/>
                <v:path gradientshapeok="t" o:connecttype="rect"/>
              </v:shapetype>
              <v:shape id="Text Box 1" o:spid="_x0000_s1026" type="#_x0000_t202" style="position:absolute;margin-left:65.2pt;margin-top:429.95pt;width:337.6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" stroked="f">
                <v:textbox style="mso-fit-shape-to-text:t" inset="0,0,0,0">
                  <w:txbxContent>
                    <w:p w14:paraId="7CB1CC9E" w14:textId="04B3F38E" w:rsidR="00304CC7" w:rsidRPr="00A07866" w:rsidRDefault="00A07866" w:rsidP="00A07866">
                      <w:pPr>
                        <w:pStyle w:val="Caption"/>
                        <w:jc w:val="center"/>
                      </w:pPr>
                      <w:bookmarkStart w:id="8" w:name="_Ref421190384"/>
                      <w:r>
                        <w:t>Figure 6</w:t>
                      </w:r>
                      <w:r w:rsidR="002741F4">
                        <w:t>-</w:t>
                      </w:r>
                      <w:r w:rsidR="00153D09">
                        <w:fldChar w:fldCharType="begin"/>
                      </w:r>
                      <w:r w:rsidR="00153D09">
                        <w:instrText xml:space="preserve"> SEQ Figure_7- \* ARABIC </w:instrText>
                      </w:r>
                      <w:r w:rsidR="00153D09">
                        <w:fldChar w:fldCharType="separate"/>
                      </w:r>
                      <w:r w:rsidR="00153D09">
                        <w:rPr>
                          <w:noProof/>
                        </w:rPr>
                        <w:t>1</w:t>
                      </w:r>
                      <w:r w:rsidR="00153D09">
                        <w:rPr>
                          <w:noProof/>
                        </w:rPr>
                        <w:fldChar w:fldCharType="end"/>
                      </w:r>
                      <w:r w:rsidR="00304CC7">
                        <w:t xml:space="preserve"> Double Bayou subwatersheds</w:t>
                      </w:r>
                      <w:bookmarkEnd w:id="8"/>
                    </w:p>
                  </w:txbxContent>
                </v:textbox>
                <w10:wrap type="topAndBottom"/>
              </v:shape>
            </w:pict>
          </mc:Fallback>
        </mc:AlternateContent>
      </w:r>
    </w:p>
    <w:p w14:paraId="26C94CA6" w14:textId="0944B09B" w:rsidR="00890117" w:rsidRDefault="0037442D" w:rsidP="00890117">
      <w:r>
        <w:t xml:space="preserve">PLACEHOLDER: UPCOMING, to be calculated - </w:t>
      </w:r>
      <w:r w:rsidR="00E646BC">
        <w:t xml:space="preserve">The percentage of bacteria reduction (%) was then applied to the total number of livestock operations in each subwatershed to determine the number of </w:t>
      </w:r>
      <w:r w:rsidR="001F6095">
        <w:t>recommended WQMPs need</w:t>
      </w:r>
      <w:r w:rsidR="00F4744D">
        <w:t>ed</w:t>
      </w:r>
      <w:r w:rsidR="001F6095">
        <w:t xml:space="preserve"> in each subwatershed</w:t>
      </w:r>
      <w:r w:rsidR="00457D00">
        <w:t xml:space="preserve"> (</w:t>
      </w:r>
      <w:r w:rsidR="00457D00">
        <w:fldChar w:fldCharType="begin"/>
      </w:r>
      <w:r w:rsidR="00457D00">
        <w:instrText xml:space="preserve"> REF _Ref426969856 \h </w:instrText>
      </w:r>
      <w:r w:rsidR="00457D00">
        <w:fldChar w:fldCharType="separate"/>
      </w:r>
      <w:r w:rsidR="00457D00">
        <w:t>Table 6-</w:t>
      </w:r>
      <w:r w:rsidR="00457D00">
        <w:rPr>
          <w:noProof/>
        </w:rPr>
        <w:t>2</w:t>
      </w:r>
      <w:r w:rsidR="00457D00">
        <w:t xml:space="preserve"> </w:t>
      </w:r>
      <w:r w:rsidR="00457D00">
        <w:rPr>
          <w:noProof/>
        </w:rPr>
        <w:t>Recommended number of WQMPs</w:t>
      </w:r>
      <w:r w:rsidR="00457D00">
        <w:fldChar w:fldCharType="end"/>
      </w:r>
      <w:r w:rsidR="00457D00">
        <w:t>)</w:t>
      </w:r>
      <w:r w:rsidR="001F6095" w:rsidRPr="0037442D">
        <w:t xml:space="preserve">. A total </w:t>
      </w:r>
      <w:r w:rsidR="00550F2A" w:rsidRPr="0037442D">
        <w:t>of XX</w:t>
      </w:r>
      <w:r w:rsidR="002F1976" w:rsidRPr="0037442D">
        <w:t xml:space="preserve"> </w:t>
      </w:r>
      <w:r w:rsidR="001F6095" w:rsidRPr="0037442D">
        <w:t>WQMPs are recommend</w:t>
      </w:r>
      <w:r w:rsidR="002F1976" w:rsidRPr="0037442D">
        <w:t>, r</w:t>
      </w:r>
      <w:r w:rsidR="001F6095" w:rsidRPr="0037442D">
        <w:t xml:space="preserve">anging from </w:t>
      </w:r>
      <w:r w:rsidR="002F1976" w:rsidRPr="0037442D">
        <w:t>XX</w:t>
      </w:r>
      <w:r w:rsidR="001F6095" w:rsidRPr="0037442D">
        <w:t xml:space="preserve">   to </w:t>
      </w:r>
      <w:r w:rsidR="002F1976" w:rsidRPr="0037442D">
        <w:t>XX</w:t>
      </w:r>
      <w:r w:rsidR="001F6095" w:rsidRPr="0037442D">
        <w:t xml:space="preserve">    depending on the subwatershed.</w:t>
      </w:r>
      <w:r w:rsidR="001F6095">
        <w:t xml:space="preserve"> </w:t>
      </w:r>
      <w:r w:rsidR="00550F2A" w:rsidRPr="00550F2A">
        <w:t>To find the total number of animal units per subwatershed, we can work backwards from the output of the select model and divide agains</w:t>
      </w:r>
      <w:r w:rsidR="00550F2A">
        <w:t xml:space="preserve">t the fecal loading rate and </w:t>
      </w:r>
      <w:r w:rsidR="00550F2A" w:rsidRPr="00550F2A">
        <w:rPr>
          <w:i/>
          <w:iCs/>
        </w:rPr>
        <w:t>E.coli</w:t>
      </w:r>
      <w:r w:rsidR="00550F2A" w:rsidRPr="00550F2A">
        <w:t xml:space="preserve"> conversion factor. This is done for each livestock input (in our case cattle, and horses (with their respective fecal loading rates) to get the number of animals per subwatershed. This number is then converted to AU (1,000 pounds live weight) and sum</w:t>
      </w:r>
      <w:r w:rsidR="005B4F05">
        <w:t>med to get AU per subwatershed.</w:t>
      </w:r>
    </w:p>
    <w:p w14:paraId="451CD5F2" w14:textId="77777777" w:rsidR="00F6195A" w:rsidRDefault="00F6195A" w:rsidP="00890117"/>
    <w:p w14:paraId="14FDB933" w14:textId="77777777" w:rsidR="00550F2A" w:rsidRDefault="00550F2A" w:rsidP="00890117"/>
    <w:tbl>
      <w:tblPr>
        <w:tblW w:w="7290" w:type="dxa"/>
        <w:jc w:val="center"/>
        <w:tblLook w:val="04A0" w:firstRow="1" w:lastRow="0" w:firstColumn="1" w:lastColumn="0" w:noHBand="0" w:noVBand="1"/>
      </w:tblPr>
      <w:tblGrid>
        <w:gridCol w:w="1840"/>
        <w:gridCol w:w="1960"/>
        <w:gridCol w:w="1670"/>
        <w:gridCol w:w="1860"/>
      </w:tblGrid>
      <w:tr w:rsidR="000719EE" w:rsidRPr="000719EE" w14:paraId="389EFA4B" w14:textId="77777777" w:rsidTr="0037442D">
        <w:trPr>
          <w:trHeight w:val="930"/>
          <w:jc w:val="center"/>
        </w:trPr>
        <w:tc>
          <w:tcPr>
            <w:tcW w:w="1840" w:type="dxa"/>
            <w:tcBorders>
              <w:top w:val="single" w:sz="4" w:space="0" w:color="auto"/>
              <w:left w:val="single" w:sz="4" w:space="0" w:color="auto"/>
              <w:bottom w:val="nil"/>
              <w:right w:val="single" w:sz="4" w:space="0" w:color="auto"/>
            </w:tcBorders>
            <w:shd w:val="clear" w:color="000000" w:fill="BFBFBF"/>
            <w:vAlign w:val="center"/>
            <w:hideMark/>
          </w:tcPr>
          <w:p w14:paraId="5DEEA6D3" w14:textId="77777777" w:rsidR="000719EE" w:rsidRPr="009E45C7" w:rsidRDefault="000719EE" w:rsidP="000719EE">
            <w:pPr>
              <w:spacing w:after="0" w:line="240" w:lineRule="auto"/>
              <w:jc w:val="center"/>
              <w:rPr>
                <w:rFonts w:asciiTheme="majorBidi" w:eastAsia="Times New Roman" w:hAnsiTheme="majorBidi" w:cstheme="majorBidi"/>
                <w:b/>
                <w:bCs/>
                <w:color w:val="000000"/>
                <w:szCs w:val="24"/>
              </w:rPr>
            </w:pPr>
            <w:r w:rsidRPr="009E45C7">
              <w:rPr>
                <w:rFonts w:asciiTheme="majorBidi" w:eastAsia="Times New Roman" w:hAnsiTheme="majorBidi" w:cstheme="majorBidi"/>
                <w:b/>
                <w:bCs/>
                <w:color w:val="000000"/>
                <w:szCs w:val="24"/>
              </w:rPr>
              <w:lastRenderedPageBreak/>
              <w:t>Subwatershed</w:t>
            </w:r>
          </w:p>
        </w:tc>
        <w:tc>
          <w:tcPr>
            <w:tcW w:w="1960" w:type="dxa"/>
            <w:tcBorders>
              <w:top w:val="single" w:sz="4" w:space="0" w:color="auto"/>
              <w:left w:val="nil"/>
              <w:bottom w:val="nil"/>
              <w:right w:val="single" w:sz="4" w:space="0" w:color="auto"/>
            </w:tcBorders>
            <w:shd w:val="clear" w:color="000000" w:fill="BFBFBF"/>
            <w:vAlign w:val="center"/>
            <w:hideMark/>
          </w:tcPr>
          <w:p w14:paraId="2782D794" w14:textId="1262D407" w:rsidR="000719EE" w:rsidRPr="009E45C7" w:rsidRDefault="00C237D4" w:rsidP="000719EE">
            <w:pPr>
              <w:spacing w:after="0" w:line="240" w:lineRule="auto"/>
              <w:jc w:val="center"/>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Animal U</w:t>
            </w:r>
            <w:r w:rsidR="000719EE" w:rsidRPr="009E45C7">
              <w:rPr>
                <w:rFonts w:asciiTheme="majorBidi" w:eastAsia="Times New Roman" w:hAnsiTheme="majorBidi" w:cstheme="majorBidi"/>
                <w:b/>
                <w:bCs/>
                <w:color w:val="000000"/>
                <w:szCs w:val="24"/>
              </w:rPr>
              <w:t>nits</w:t>
            </w:r>
          </w:p>
        </w:tc>
        <w:tc>
          <w:tcPr>
            <w:tcW w:w="1630" w:type="dxa"/>
            <w:tcBorders>
              <w:top w:val="single" w:sz="4" w:space="0" w:color="auto"/>
              <w:left w:val="nil"/>
              <w:bottom w:val="nil"/>
              <w:right w:val="single" w:sz="4" w:space="0" w:color="auto"/>
            </w:tcBorders>
            <w:shd w:val="clear" w:color="000000" w:fill="BFBFBF"/>
            <w:vAlign w:val="center"/>
            <w:hideMark/>
          </w:tcPr>
          <w:p w14:paraId="619503F5" w14:textId="44E8A4AD" w:rsidR="000719EE" w:rsidRPr="009E45C7" w:rsidRDefault="00C237D4" w:rsidP="000719EE">
            <w:pPr>
              <w:spacing w:after="0" w:line="240" w:lineRule="auto"/>
              <w:jc w:val="center"/>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Number of Farms per S</w:t>
            </w:r>
            <w:r w:rsidR="000719EE" w:rsidRPr="009E45C7">
              <w:rPr>
                <w:rFonts w:asciiTheme="majorBidi" w:eastAsia="Times New Roman" w:hAnsiTheme="majorBidi" w:cstheme="majorBidi"/>
                <w:b/>
                <w:bCs/>
                <w:color w:val="000000"/>
                <w:szCs w:val="24"/>
              </w:rPr>
              <w:t>ubwatershed</w:t>
            </w:r>
          </w:p>
        </w:tc>
        <w:tc>
          <w:tcPr>
            <w:tcW w:w="1860" w:type="dxa"/>
            <w:tcBorders>
              <w:top w:val="single" w:sz="4" w:space="0" w:color="auto"/>
              <w:left w:val="nil"/>
              <w:bottom w:val="nil"/>
              <w:right w:val="single" w:sz="4" w:space="0" w:color="auto"/>
            </w:tcBorders>
            <w:shd w:val="clear" w:color="000000" w:fill="BFBFBF"/>
            <w:vAlign w:val="center"/>
            <w:hideMark/>
          </w:tcPr>
          <w:p w14:paraId="2CC5BAE0" w14:textId="5939BDD5" w:rsidR="000719EE" w:rsidRPr="009E45C7" w:rsidRDefault="00C237D4" w:rsidP="000719EE">
            <w:pPr>
              <w:spacing w:after="0" w:line="240" w:lineRule="auto"/>
              <w:jc w:val="center"/>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Recommended N</w:t>
            </w:r>
            <w:r w:rsidR="000719EE" w:rsidRPr="009E45C7">
              <w:rPr>
                <w:rFonts w:asciiTheme="majorBidi" w:eastAsia="Times New Roman" w:hAnsiTheme="majorBidi" w:cstheme="majorBidi"/>
                <w:b/>
                <w:bCs/>
                <w:color w:val="000000"/>
                <w:szCs w:val="24"/>
              </w:rPr>
              <w:t>umber of WQMPs</w:t>
            </w:r>
          </w:p>
        </w:tc>
      </w:tr>
      <w:tr w:rsidR="000719EE" w:rsidRPr="000719EE" w14:paraId="154E9393" w14:textId="77777777" w:rsidTr="0037442D">
        <w:trPr>
          <w:trHeight w:val="300"/>
          <w:jc w:val="center"/>
        </w:trPr>
        <w:tc>
          <w:tcPr>
            <w:tcW w:w="1840" w:type="dxa"/>
            <w:tcBorders>
              <w:top w:val="single" w:sz="4" w:space="0" w:color="auto"/>
              <w:left w:val="single" w:sz="4" w:space="0" w:color="auto"/>
              <w:bottom w:val="nil"/>
              <w:right w:val="nil"/>
            </w:tcBorders>
            <w:shd w:val="clear" w:color="000000" w:fill="F2F2F2"/>
            <w:noWrap/>
            <w:vAlign w:val="center"/>
            <w:hideMark/>
          </w:tcPr>
          <w:p w14:paraId="45F4DDB2" w14:textId="77777777" w:rsidR="000719EE" w:rsidRPr="009E45C7" w:rsidRDefault="000719EE" w:rsidP="000719EE">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w:t>
            </w:r>
          </w:p>
        </w:tc>
        <w:tc>
          <w:tcPr>
            <w:tcW w:w="1960" w:type="dxa"/>
            <w:tcBorders>
              <w:top w:val="single" w:sz="4" w:space="0" w:color="auto"/>
              <w:left w:val="single" w:sz="4" w:space="0" w:color="auto"/>
              <w:bottom w:val="nil"/>
              <w:right w:val="nil"/>
            </w:tcBorders>
            <w:shd w:val="clear" w:color="000000" w:fill="F2F2F2"/>
            <w:noWrap/>
            <w:vAlign w:val="center"/>
            <w:hideMark/>
          </w:tcPr>
          <w:p w14:paraId="5DE9D652" w14:textId="77777777" w:rsidR="000719EE" w:rsidRPr="009E45C7" w:rsidRDefault="000719EE" w:rsidP="000719EE">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320 </w:t>
            </w:r>
          </w:p>
        </w:tc>
        <w:tc>
          <w:tcPr>
            <w:tcW w:w="1630" w:type="dxa"/>
            <w:tcBorders>
              <w:top w:val="single" w:sz="4" w:space="0" w:color="auto"/>
              <w:left w:val="single" w:sz="4" w:space="0" w:color="auto"/>
              <w:bottom w:val="nil"/>
              <w:right w:val="single" w:sz="4" w:space="0" w:color="auto"/>
            </w:tcBorders>
            <w:shd w:val="clear" w:color="000000" w:fill="F2F2F2"/>
            <w:noWrap/>
            <w:vAlign w:val="center"/>
            <w:hideMark/>
          </w:tcPr>
          <w:p w14:paraId="6ECFEDC4" w14:textId="77777777" w:rsidR="000719EE" w:rsidRPr="009E45C7" w:rsidRDefault="000719EE" w:rsidP="000719EE">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8</w:t>
            </w:r>
          </w:p>
        </w:tc>
        <w:tc>
          <w:tcPr>
            <w:tcW w:w="1860" w:type="dxa"/>
            <w:tcBorders>
              <w:top w:val="single" w:sz="4" w:space="0" w:color="auto"/>
              <w:left w:val="nil"/>
              <w:bottom w:val="nil"/>
              <w:right w:val="single" w:sz="4" w:space="0" w:color="auto"/>
            </w:tcBorders>
            <w:shd w:val="clear" w:color="000000" w:fill="F2F2F2"/>
            <w:noWrap/>
            <w:vAlign w:val="bottom"/>
            <w:hideMark/>
          </w:tcPr>
          <w:p w14:paraId="39E15A36" w14:textId="7D8E214F" w:rsidR="000719EE"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0719EE" w:rsidRPr="000719EE" w14:paraId="347BE87B" w14:textId="77777777" w:rsidTr="0037442D">
        <w:trPr>
          <w:trHeight w:val="300"/>
          <w:jc w:val="center"/>
        </w:trPr>
        <w:tc>
          <w:tcPr>
            <w:tcW w:w="1840" w:type="dxa"/>
            <w:tcBorders>
              <w:top w:val="nil"/>
              <w:left w:val="single" w:sz="4" w:space="0" w:color="auto"/>
              <w:bottom w:val="nil"/>
              <w:right w:val="nil"/>
            </w:tcBorders>
            <w:shd w:val="clear" w:color="000000" w:fill="FFFFFF"/>
            <w:noWrap/>
            <w:vAlign w:val="center"/>
            <w:hideMark/>
          </w:tcPr>
          <w:p w14:paraId="02802C99" w14:textId="77777777" w:rsidR="000719EE" w:rsidRPr="009E45C7" w:rsidRDefault="000719EE" w:rsidP="000719EE">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2</w:t>
            </w:r>
          </w:p>
        </w:tc>
        <w:tc>
          <w:tcPr>
            <w:tcW w:w="1960" w:type="dxa"/>
            <w:tcBorders>
              <w:top w:val="nil"/>
              <w:left w:val="single" w:sz="4" w:space="0" w:color="auto"/>
              <w:bottom w:val="nil"/>
              <w:right w:val="nil"/>
            </w:tcBorders>
            <w:shd w:val="clear" w:color="000000" w:fill="FFFFFF"/>
            <w:noWrap/>
            <w:vAlign w:val="center"/>
            <w:hideMark/>
          </w:tcPr>
          <w:p w14:paraId="0A3B93EC" w14:textId="77777777" w:rsidR="000719EE" w:rsidRPr="009E45C7" w:rsidRDefault="000719EE" w:rsidP="000719EE">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4</w:t>
            </w:r>
          </w:p>
        </w:tc>
        <w:tc>
          <w:tcPr>
            <w:tcW w:w="1630" w:type="dxa"/>
            <w:tcBorders>
              <w:top w:val="nil"/>
              <w:left w:val="single" w:sz="4" w:space="0" w:color="auto"/>
              <w:bottom w:val="nil"/>
              <w:right w:val="single" w:sz="4" w:space="0" w:color="auto"/>
            </w:tcBorders>
            <w:shd w:val="clear" w:color="000000" w:fill="FFFFFF"/>
            <w:noWrap/>
            <w:vAlign w:val="center"/>
            <w:hideMark/>
          </w:tcPr>
          <w:p w14:paraId="2AA669E7" w14:textId="77777777" w:rsidR="000719EE" w:rsidRPr="009E45C7" w:rsidRDefault="000719EE" w:rsidP="000719EE">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0</w:t>
            </w:r>
          </w:p>
        </w:tc>
        <w:tc>
          <w:tcPr>
            <w:tcW w:w="1860" w:type="dxa"/>
            <w:tcBorders>
              <w:top w:val="nil"/>
              <w:left w:val="nil"/>
              <w:bottom w:val="nil"/>
              <w:right w:val="single" w:sz="4" w:space="0" w:color="auto"/>
            </w:tcBorders>
            <w:shd w:val="clear" w:color="000000" w:fill="FFFFFF"/>
            <w:noWrap/>
            <w:vAlign w:val="bottom"/>
            <w:hideMark/>
          </w:tcPr>
          <w:p w14:paraId="4D3990FC" w14:textId="327751A9" w:rsidR="000719EE"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693AE399" w14:textId="77777777" w:rsidTr="0037442D">
        <w:trPr>
          <w:trHeight w:val="300"/>
          <w:jc w:val="center"/>
        </w:trPr>
        <w:tc>
          <w:tcPr>
            <w:tcW w:w="1840" w:type="dxa"/>
            <w:tcBorders>
              <w:top w:val="nil"/>
              <w:left w:val="single" w:sz="4" w:space="0" w:color="auto"/>
              <w:bottom w:val="nil"/>
              <w:right w:val="nil"/>
            </w:tcBorders>
            <w:shd w:val="clear" w:color="000000" w:fill="F2F2F2"/>
            <w:noWrap/>
            <w:vAlign w:val="center"/>
            <w:hideMark/>
          </w:tcPr>
          <w:p w14:paraId="10927913"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3</w:t>
            </w:r>
          </w:p>
        </w:tc>
        <w:tc>
          <w:tcPr>
            <w:tcW w:w="1960" w:type="dxa"/>
            <w:tcBorders>
              <w:top w:val="nil"/>
              <w:left w:val="single" w:sz="4" w:space="0" w:color="auto"/>
              <w:bottom w:val="nil"/>
              <w:right w:val="nil"/>
            </w:tcBorders>
            <w:shd w:val="clear" w:color="000000" w:fill="F2F2F2"/>
            <w:noWrap/>
            <w:vAlign w:val="center"/>
            <w:hideMark/>
          </w:tcPr>
          <w:p w14:paraId="5E3B7ED4"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243 </w:t>
            </w:r>
          </w:p>
        </w:tc>
        <w:tc>
          <w:tcPr>
            <w:tcW w:w="1630" w:type="dxa"/>
            <w:tcBorders>
              <w:top w:val="nil"/>
              <w:left w:val="single" w:sz="4" w:space="0" w:color="auto"/>
              <w:bottom w:val="nil"/>
              <w:right w:val="single" w:sz="4" w:space="0" w:color="auto"/>
            </w:tcBorders>
            <w:shd w:val="clear" w:color="000000" w:fill="F2F2F2"/>
            <w:noWrap/>
            <w:vAlign w:val="center"/>
            <w:hideMark/>
          </w:tcPr>
          <w:p w14:paraId="2B7D7C4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6</w:t>
            </w:r>
          </w:p>
        </w:tc>
        <w:tc>
          <w:tcPr>
            <w:tcW w:w="1860" w:type="dxa"/>
            <w:tcBorders>
              <w:top w:val="nil"/>
              <w:left w:val="nil"/>
              <w:bottom w:val="nil"/>
              <w:right w:val="single" w:sz="4" w:space="0" w:color="auto"/>
            </w:tcBorders>
            <w:shd w:val="clear" w:color="000000" w:fill="F2F2F2"/>
            <w:noWrap/>
            <w:vAlign w:val="bottom"/>
            <w:hideMark/>
          </w:tcPr>
          <w:p w14:paraId="0816AEC1" w14:textId="11ED1DA3"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6403754D" w14:textId="77777777" w:rsidTr="0037442D">
        <w:trPr>
          <w:trHeight w:val="300"/>
          <w:jc w:val="center"/>
        </w:trPr>
        <w:tc>
          <w:tcPr>
            <w:tcW w:w="1840" w:type="dxa"/>
            <w:tcBorders>
              <w:top w:val="nil"/>
              <w:left w:val="single" w:sz="4" w:space="0" w:color="auto"/>
              <w:bottom w:val="nil"/>
              <w:right w:val="nil"/>
            </w:tcBorders>
            <w:shd w:val="clear" w:color="000000" w:fill="FFFFFF"/>
            <w:noWrap/>
            <w:vAlign w:val="center"/>
            <w:hideMark/>
          </w:tcPr>
          <w:p w14:paraId="133A5B59"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4</w:t>
            </w:r>
          </w:p>
        </w:tc>
        <w:tc>
          <w:tcPr>
            <w:tcW w:w="1960" w:type="dxa"/>
            <w:tcBorders>
              <w:top w:val="nil"/>
              <w:left w:val="single" w:sz="4" w:space="0" w:color="auto"/>
              <w:bottom w:val="nil"/>
              <w:right w:val="nil"/>
            </w:tcBorders>
            <w:shd w:val="clear" w:color="000000" w:fill="FFFFFF"/>
            <w:noWrap/>
            <w:vAlign w:val="center"/>
            <w:hideMark/>
          </w:tcPr>
          <w:p w14:paraId="40CF14FD"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353 </w:t>
            </w:r>
          </w:p>
        </w:tc>
        <w:tc>
          <w:tcPr>
            <w:tcW w:w="1630" w:type="dxa"/>
            <w:tcBorders>
              <w:top w:val="nil"/>
              <w:left w:val="single" w:sz="4" w:space="0" w:color="auto"/>
              <w:bottom w:val="nil"/>
              <w:right w:val="single" w:sz="4" w:space="0" w:color="auto"/>
            </w:tcBorders>
            <w:shd w:val="clear" w:color="000000" w:fill="FFFFFF"/>
            <w:noWrap/>
            <w:vAlign w:val="center"/>
            <w:hideMark/>
          </w:tcPr>
          <w:p w14:paraId="6364F577"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9</w:t>
            </w:r>
          </w:p>
        </w:tc>
        <w:tc>
          <w:tcPr>
            <w:tcW w:w="1860" w:type="dxa"/>
            <w:tcBorders>
              <w:top w:val="nil"/>
              <w:left w:val="nil"/>
              <w:bottom w:val="nil"/>
              <w:right w:val="single" w:sz="4" w:space="0" w:color="auto"/>
            </w:tcBorders>
            <w:shd w:val="clear" w:color="000000" w:fill="FFFFFF"/>
            <w:noWrap/>
            <w:vAlign w:val="bottom"/>
            <w:hideMark/>
          </w:tcPr>
          <w:p w14:paraId="3329C1FA" w14:textId="42121947"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31F688AE" w14:textId="77777777" w:rsidTr="0037442D">
        <w:trPr>
          <w:trHeight w:val="300"/>
          <w:jc w:val="center"/>
        </w:trPr>
        <w:tc>
          <w:tcPr>
            <w:tcW w:w="1840" w:type="dxa"/>
            <w:tcBorders>
              <w:top w:val="nil"/>
              <w:left w:val="single" w:sz="4" w:space="0" w:color="auto"/>
              <w:bottom w:val="nil"/>
              <w:right w:val="nil"/>
            </w:tcBorders>
            <w:shd w:val="clear" w:color="000000" w:fill="F2F2F2"/>
            <w:noWrap/>
            <w:vAlign w:val="center"/>
            <w:hideMark/>
          </w:tcPr>
          <w:p w14:paraId="73B7F0D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5</w:t>
            </w:r>
          </w:p>
        </w:tc>
        <w:tc>
          <w:tcPr>
            <w:tcW w:w="1960" w:type="dxa"/>
            <w:tcBorders>
              <w:top w:val="nil"/>
              <w:left w:val="single" w:sz="4" w:space="0" w:color="auto"/>
              <w:bottom w:val="nil"/>
              <w:right w:val="nil"/>
            </w:tcBorders>
            <w:shd w:val="clear" w:color="000000" w:fill="F2F2F2"/>
            <w:noWrap/>
            <w:vAlign w:val="center"/>
            <w:hideMark/>
          </w:tcPr>
          <w:p w14:paraId="72A09C69"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457 </w:t>
            </w:r>
          </w:p>
        </w:tc>
        <w:tc>
          <w:tcPr>
            <w:tcW w:w="1630" w:type="dxa"/>
            <w:tcBorders>
              <w:top w:val="nil"/>
              <w:left w:val="single" w:sz="4" w:space="0" w:color="auto"/>
              <w:bottom w:val="nil"/>
              <w:right w:val="single" w:sz="4" w:space="0" w:color="auto"/>
            </w:tcBorders>
            <w:shd w:val="clear" w:color="000000" w:fill="F2F2F2"/>
            <w:noWrap/>
            <w:vAlign w:val="center"/>
            <w:hideMark/>
          </w:tcPr>
          <w:p w14:paraId="169D5CA9"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12</w:t>
            </w:r>
          </w:p>
        </w:tc>
        <w:tc>
          <w:tcPr>
            <w:tcW w:w="1860" w:type="dxa"/>
            <w:tcBorders>
              <w:top w:val="nil"/>
              <w:left w:val="nil"/>
              <w:bottom w:val="nil"/>
              <w:right w:val="single" w:sz="4" w:space="0" w:color="auto"/>
            </w:tcBorders>
            <w:shd w:val="clear" w:color="000000" w:fill="F2F2F2"/>
            <w:noWrap/>
            <w:vAlign w:val="bottom"/>
            <w:hideMark/>
          </w:tcPr>
          <w:p w14:paraId="2DF88441" w14:textId="4F02B922"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731773BA" w14:textId="77777777" w:rsidTr="0037442D">
        <w:trPr>
          <w:trHeight w:val="300"/>
          <w:jc w:val="center"/>
        </w:trPr>
        <w:tc>
          <w:tcPr>
            <w:tcW w:w="1840" w:type="dxa"/>
            <w:tcBorders>
              <w:top w:val="nil"/>
              <w:left w:val="single" w:sz="4" w:space="0" w:color="auto"/>
              <w:bottom w:val="nil"/>
              <w:right w:val="nil"/>
            </w:tcBorders>
            <w:shd w:val="clear" w:color="000000" w:fill="FFFFFF"/>
            <w:noWrap/>
            <w:vAlign w:val="center"/>
            <w:hideMark/>
          </w:tcPr>
          <w:p w14:paraId="59E65799"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6</w:t>
            </w:r>
          </w:p>
        </w:tc>
        <w:tc>
          <w:tcPr>
            <w:tcW w:w="1960" w:type="dxa"/>
            <w:tcBorders>
              <w:top w:val="nil"/>
              <w:left w:val="single" w:sz="4" w:space="0" w:color="auto"/>
              <w:bottom w:val="nil"/>
              <w:right w:val="nil"/>
            </w:tcBorders>
            <w:shd w:val="clear" w:color="000000" w:fill="FFFFFF"/>
            <w:noWrap/>
            <w:vAlign w:val="center"/>
            <w:hideMark/>
          </w:tcPr>
          <w:p w14:paraId="74BB60F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39</w:t>
            </w:r>
          </w:p>
        </w:tc>
        <w:tc>
          <w:tcPr>
            <w:tcW w:w="1630" w:type="dxa"/>
            <w:tcBorders>
              <w:top w:val="nil"/>
              <w:left w:val="single" w:sz="4" w:space="0" w:color="auto"/>
              <w:bottom w:val="nil"/>
              <w:right w:val="single" w:sz="4" w:space="0" w:color="auto"/>
            </w:tcBorders>
            <w:shd w:val="clear" w:color="000000" w:fill="FFFFFF"/>
            <w:noWrap/>
            <w:vAlign w:val="center"/>
            <w:hideMark/>
          </w:tcPr>
          <w:p w14:paraId="5384FD5D"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w:t>
            </w:r>
          </w:p>
        </w:tc>
        <w:tc>
          <w:tcPr>
            <w:tcW w:w="1860" w:type="dxa"/>
            <w:tcBorders>
              <w:top w:val="nil"/>
              <w:left w:val="nil"/>
              <w:bottom w:val="nil"/>
              <w:right w:val="single" w:sz="4" w:space="0" w:color="auto"/>
            </w:tcBorders>
            <w:shd w:val="clear" w:color="000000" w:fill="FFFFFF"/>
            <w:noWrap/>
            <w:vAlign w:val="bottom"/>
            <w:hideMark/>
          </w:tcPr>
          <w:p w14:paraId="2FF8B3D3" w14:textId="30CC8B7A"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6DF6DAEE" w14:textId="77777777" w:rsidTr="0037442D">
        <w:trPr>
          <w:trHeight w:val="300"/>
          <w:jc w:val="center"/>
        </w:trPr>
        <w:tc>
          <w:tcPr>
            <w:tcW w:w="1840" w:type="dxa"/>
            <w:tcBorders>
              <w:top w:val="nil"/>
              <w:left w:val="single" w:sz="4" w:space="0" w:color="auto"/>
              <w:bottom w:val="nil"/>
              <w:right w:val="nil"/>
            </w:tcBorders>
            <w:shd w:val="clear" w:color="000000" w:fill="F2F2F2"/>
            <w:noWrap/>
            <w:vAlign w:val="center"/>
            <w:hideMark/>
          </w:tcPr>
          <w:p w14:paraId="65BF8AB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7</w:t>
            </w:r>
          </w:p>
        </w:tc>
        <w:tc>
          <w:tcPr>
            <w:tcW w:w="1960" w:type="dxa"/>
            <w:tcBorders>
              <w:top w:val="nil"/>
              <w:left w:val="single" w:sz="4" w:space="0" w:color="auto"/>
              <w:bottom w:val="nil"/>
              <w:right w:val="nil"/>
            </w:tcBorders>
            <w:shd w:val="clear" w:color="000000" w:fill="F2F2F2"/>
            <w:noWrap/>
            <w:vAlign w:val="center"/>
            <w:hideMark/>
          </w:tcPr>
          <w:p w14:paraId="003ABC0C"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175 </w:t>
            </w:r>
          </w:p>
        </w:tc>
        <w:tc>
          <w:tcPr>
            <w:tcW w:w="1630" w:type="dxa"/>
            <w:tcBorders>
              <w:top w:val="nil"/>
              <w:left w:val="single" w:sz="4" w:space="0" w:color="auto"/>
              <w:bottom w:val="nil"/>
              <w:right w:val="single" w:sz="4" w:space="0" w:color="auto"/>
            </w:tcBorders>
            <w:shd w:val="clear" w:color="000000" w:fill="F2F2F2"/>
            <w:noWrap/>
            <w:vAlign w:val="center"/>
            <w:hideMark/>
          </w:tcPr>
          <w:p w14:paraId="684CD918"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5</w:t>
            </w:r>
          </w:p>
        </w:tc>
        <w:tc>
          <w:tcPr>
            <w:tcW w:w="1860" w:type="dxa"/>
            <w:tcBorders>
              <w:top w:val="nil"/>
              <w:left w:val="nil"/>
              <w:bottom w:val="nil"/>
              <w:right w:val="single" w:sz="4" w:space="0" w:color="auto"/>
            </w:tcBorders>
            <w:shd w:val="clear" w:color="000000" w:fill="F2F2F2"/>
            <w:noWrap/>
            <w:vAlign w:val="bottom"/>
            <w:hideMark/>
          </w:tcPr>
          <w:p w14:paraId="67316B86" w14:textId="1C4797D6"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01F8FD98" w14:textId="77777777" w:rsidTr="0037442D">
        <w:trPr>
          <w:trHeight w:val="300"/>
          <w:jc w:val="center"/>
        </w:trPr>
        <w:tc>
          <w:tcPr>
            <w:tcW w:w="1840" w:type="dxa"/>
            <w:tcBorders>
              <w:top w:val="nil"/>
              <w:left w:val="single" w:sz="4" w:space="0" w:color="auto"/>
              <w:bottom w:val="nil"/>
              <w:right w:val="nil"/>
            </w:tcBorders>
            <w:shd w:val="clear" w:color="000000" w:fill="FFFFFF"/>
            <w:noWrap/>
            <w:vAlign w:val="center"/>
            <w:hideMark/>
          </w:tcPr>
          <w:p w14:paraId="3239C1D7"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8</w:t>
            </w:r>
          </w:p>
        </w:tc>
        <w:tc>
          <w:tcPr>
            <w:tcW w:w="1960" w:type="dxa"/>
            <w:tcBorders>
              <w:top w:val="nil"/>
              <w:left w:val="single" w:sz="4" w:space="0" w:color="auto"/>
              <w:bottom w:val="nil"/>
              <w:right w:val="nil"/>
            </w:tcBorders>
            <w:shd w:val="clear" w:color="000000" w:fill="FFFFFF"/>
            <w:noWrap/>
            <w:vAlign w:val="center"/>
            <w:hideMark/>
          </w:tcPr>
          <w:p w14:paraId="6CCE25CD"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105 </w:t>
            </w:r>
          </w:p>
        </w:tc>
        <w:tc>
          <w:tcPr>
            <w:tcW w:w="1630" w:type="dxa"/>
            <w:tcBorders>
              <w:top w:val="nil"/>
              <w:left w:val="single" w:sz="4" w:space="0" w:color="auto"/>
              <w:bottom w:val="nil"/>
              <w:right w:val="single" w:sz="4" w:space="0" w:color="auto"/>
            </w:tcBorders>
            <w:shd w:val="clear" w:color="000000" w:fill="FFFFFF"/>
            <w:noWrap/>
            <w:vAlign w:val="center"/>
            <w:hideMark/>
          </w:tcPr>
          <w:p w14:paraId="3B8D1B5D"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3</w:t>
            </w:r>
          </w:p>
        </w:tc>
        <w:tc>
          <w:tcPr>
            <w:tcW w:w="1860" w:type="dxa"/>
            <w:tcBorders>
              <w:top w:val="nil"/>
              <w:left w:val="nil"/>
              <w:bottom w:val="nil"/>
              <w:right w:val="single" w:sz="4" w:space="0" w:color="auto"/>
            </w:tcBorders>
            <w:shd w:val="clear" w:color="000000" w:fill="FFFFFF"/>
            <w:noWrap/>
            <w:vAlign w:val="bottom"/>
            <w:hideMark/>
          </w:tcPr>
          <w:p w14:paraId="2F5F9C39" w14:textId="5A5812B5"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159FF3B9" w14:textId="77777777" w:rsidTr="0037442D">
        <w:trPr>
          <w:trHeight w:val="300"/>
          <w:jc w:val="center"/>
        </w:trPr>
        <w:tc>
          <w:tcPr>
            <w:tcW w:w="1840" w:type="dxa"/>
            <w:tcBorders>
              <w:top w:val="nil"/>
              <w:left w:val="single" w:sz="4" w:space="0" w:color="auto"/>
              <w:bottom w:val="nil"/>
              <w:right w:val="nil"/>
            </w:tcBorders>
            <w:shd w:val="clear" w:color="000000" w:fill="F2F2F2"/>
            <w:noWrap/>
            <w:vAlign w:val="center"/>
            <w:hideMark/>
          </w:tcPr>
          <w:p w14:paraId="48255D40"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9</w:t>
            </w:r>
          </w:p>
        </w:tc>
        <w:tc>
          <w:tcPr>
            <w:tcW w:w="1960" w:type="dxa"/>
            <w:tcBorders>
              <w:top w:val="nil"/>
              <w:left w:val="single" w:sz="4" w:space="0" w:color="auto"/>
              <w:bottom w:val="nil"/>
              <w:right w:val="nil"/>
            </w:tcBorders>
            <w:shd w:val="clear" w:color="000000" w:fill="F2F2F2"/>
            <w:noWrap/>
            <w:vAlign w:val="center"/>
            <w:hideMark/>
          </w:tcPr>
          <w:p w14:paraId="5C774075"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299 </w:t>
            </w:r>
          </w:p>
        </w:tc>
        <w:tc>
          <w:tcPr>
            <w:tcW w:w="1630" w:type="dxa"/>
            <w:tcBorders>
              <w:top w:val="nil"/>
              <w:left w:val="single" w:sz="4" w:space="0" w:color="auto"/>
              <w:bottom w:val="nil"/>
              <w:right w:val="single" w:sz="4" w:space="0" w:color="auto"/>
            </w:tcBorders>
            <w:shd w:val="clear" w:color="000000" w:fill="F2F2F2"/>
            <w:noWrap/>
            <w:vAlign w:val="center"/>
            <w:hideMark/>
          </w:tcPr>
          <w:p w14:paraId="65F0C209"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8</w:t>
            </w:r>
          </w:p>
        </w:tc>
        <w:tc>
          <w:tcPr>
            <w:tcW w:w="1860" w:type="dxa"/>
            <w:tcBorders>
              <w:top w:val="nil"/>
              <w:left w:val="nil"/>
              <w:bottom w:val="nil"/>
              <w:right w:val="single" w:sz="4" w:space="0" w:color="auto"/>
            </w:tcBorders>
            <w:shd w:val="clear" w:color="000000" w:fill="F2F2F2"/>
            <w:noWrap/>
            <w:vAlign w:val="bottom"/>
            <w:hideMark/>
          </w:tcPr>
          <w:p w14:paraId="6050C4EF" w14:textId="315759DF"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43AD6119" w14:textId="77777777" w:rsidTr="0037442D">
        <w:trPr>
          <w:trHeight w:val="300"/>
          <w:jc w:val="center"/>
        </w:trPr>
        <w:tc>
          <w:tcPr>
            <w:tcW w:w="1840" w:type="dxa"/>
            <w:tcBorders>
              <w:top w:val="nil"/>
              <w:left w:val="single" w:sz="4" w:space="0" w:color="auto"/>
              <w:bottom w:val="nil"/>
              <w:right w:val="nil"/>
            </w:tcBorders>
            <w:shd w:val="clear" w:color="000000" w:fill="FFFFFF"/>
            <w:noWrap/>
            <w:vAlign w:val="center"/>
            <w:hideMark/>
          </w:tcPr>
          <w:p w14:paraId="3455AD17"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10</w:t>
            </w:r>
          </w:p>
        </w:tc>
        <w:tc>
          <w:tcPr>
            <w:tcW w:w="1960" w:type="dxa"/>
            <w:tcBorders>
              <w:top w:val="nil"/>
              <w:left w:val="single" w:sz="4" w:space="0" w:color="auto"/>
              <w:bottom w:val="nil"/>
              <w:right w:val="nil"/>
            </w:tcBorders>
            <w:shd w:val="clear" w:color="000000" w:fill="FFFFFF"/>
            <w:noWrap/>
            <w:vAlign w:val="center"/>
            <w:hideMark/>
          </w:tcPr>
          <w:p w14:paraId="55DE1DA0"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237 </w:t>
            </w:r>
          </w:p>
        </w:tc>
        <w:tc>
          <w:tcPr>
            <w:tcW w:w="1630" w:type="dxa"/>
            <w:tcBorders>
              <w:top w:val="nil"/>
              <w:left w:val="single" w:sz="4" w:space="0" w:color="auto"/>
              <w:bottom w:val="nil"/>
              <w:right w:val="single" w:sz="4" w:space="0" w:color="auto"/>
            </w:tcBorders>
            <w:shd w:val="clear" w:color="000000" w:fill="FFFFFF"/>
            <w:noWrap/>
            <w:vAlign w:val="center"/>
            <w:hideMark/>
          </w:tcPr>
          <w:p w14:paraId="45236DE6"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6</w:t>
            </w:r>
          </w:p>
        </w:tc>
        <w:tc>
          <w:tcPr>
            <w:tcW w:w="1860" w:type="dxa"/>
            <w:tcBorders>
              <w:top w:val="nil"/>
              <w:left w:val="nil"/>
              <w:bottom w:val="nil"/>
              <w:right w:val="single" w:sz="4" w:space="0" w:color="auto"/>
            </w:tcBorders>
            <w:shd w:val="clear" w:color="000000" w:fill="FFFFFF"/>
            <w:noWrap/>
            <w:vAlign w:val="bottom"/>
            <w:hideMark/>
          </w:tcPr>
          <w:p w14:paraId="7B3BE42C" w14:textId="76C63B40"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210B5A71" w14:textId="77777777" w:rsidTr="0037442D">
        <w:trPr>
          <w:trHeight w:val="300"/>
          <w:jc w:val="center"/>
        </w:trPr>
        <w:tc>
          <w:tcPr>
            <w:tcW w:w="1840" w:type="dxa"/>
            <w:tcBorders>
              <w:top w:val="nil"/>
              <w:left w:val="single" w:sz="4" w:space="0" w:color="auto"/>
              <w:bottom w:val="nil"/>
              <w:right w:val="nil"/>
            </w:tcBorders>
            <w:shd w:val="clear" w:color="000000" w:fill="F2F2F2"/>
            <w:noWrap/>
            <w:vAlign w:val="center"/>
            <w:hideMark/>
          </w:tcPr>
          <w:p w14:paraId="6D72D252"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11</w:t>
            </w:r>
          </w:p>
        </w:tc>
        <w:tc>
          <w:tcPr>
            <w:tcW w:w="1960" w:type="dxa"/>
            <w:tcBorders>
              <w:top w:val="nil"/>
              <w:left w:val="single" w:sz="4" w:space="0" w:color="auto"/>
              <w:bottom w:val="nil"/>
              <w:right w:val="nil"/>
            </w:tcBorders>
            <w:shd w:val="clear" w:color="000000" w:fill="F2F2F2"/>
            <w:noWrap/>
            <w:vAlign w:val="center"/>
            <w:hideMark/>
          </w:tcPr>
          <w:p w14:paraId="68FB969D"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149 </w:t>
            </w:r>
          </w:p>
        </w:tc>
        <w:tc>
          <w:tcPr>
            <w:tcW w:w="1630" w:type="dxa"/>
            <w:tcBorders>
              <w:top w:val="nil"/>
              <w:left w:val="single" w:sz="4" w:space="0" w:color="auto"/>
              <w:bottom w:val="nil"/>
              <w:right w:val="single" w:sz="4" w:space="0" w:color="auto"/>
            </w:tcBorders>
            <w:shd w:val="clear" w:color="000000" w:fill="F2F2F2"/>
            <w:noWrap/>
            <w:vAlign w:val="center"/>
            <w:hideMark/>
          </w:tcPr>
          <w:p w14:paraId="16CDE492"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4</w:t>
            </w:r>
          </w:p>
        </w:tc>
        <w:tc>
          <w:tcPr>
            <w:tcW w:w="1860" w:type="dxa"/>
            <w:tcBorders>
              <w:top w:val="nil"/>
              <w:left w:val="nil"/>
              <w:bottom w:val="nil"/>
              <w:right w:val="single" w:sz="4" w:space="0" w:color="auto"/>
            </w:tcBorders>
            <w:shd w:val="clear" w:color="000000" w:fill="F2F2F2"/>
            <w:noWrap/>
            <w:vAlign w:val="bottom"/>
            <w:hideMark/>
          </w:tcPr>
          <w:p w14:paraId="73C67F37" w14:textId="694D0BC9"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5FE2C374" w14:textId="77777777" w:rsidTr="0037442D">
        <w:trPr>
          <w:trHeight w:val="300"/>
          <w:jc w:val="center"/>
        </w:trPr>
        <w:tc>
          <w:tcPr>
            <w:tcW w:w="1840" w:type="dxa"/>
            <w:tcBorders>
              <w:top w:val="nil"/>
              <w:left w:val="single" w:sz="4" w:space="0" w:color="auto"/>
              <w:bottom w:val="nil"/>
              <w:right w:val="nil"/>
            </w:tcBorders>
            <w:shd w:val="clear" w:color="000000" w:fill="FFFFFF"/>
            <w:noWrap/>
            <w:vAlign w:val="center"/>
            <w:hideMark/>
          </w:tcPr>
          <w:p w14:paraId="4B996576"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12</w:t>
            </w:r>
          </w:p>
        </w:tc>
        <w:tc>
          <w:tcPr>
            <w:tcW w:w="1960" w:type="dxa"/>
            <w:tcBorders>
              <w:top w:val="nil"/>
              <w:left w:val="single" w:sz="4" w:space="0" w:color="auto"/>
              <w:bottom w:val="nil"/>
              <w:right w:val="nil"/>
            </w:tcBorders>
            <w:shd w:val="clear" w:color="000000" w:fill="FFFFFF"/>
            <w:noWrap/>
            <w:vAlign w:val="center"/>
            <w:hideMark/>
          </w:tcPr>
          <w:p w14:paraId="56D6337C"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226 </w:t>
            </w:r>
          </w:p>
        </w:tc>
        <w:tc>
          <w:tcPr>
            <w:tcW w:w="1630" w:type="dxa"/>
            <w:tcBorders>
              <w:top w:val="nil"/>
              <w:left w:val="single" w:sz="4" w:space="0" w:color="auto"/>
              <w:bottom w:val="nil"/>
              <w:right w:val="single" w:sz="4" w:space="0" w:color="auto"/>
            </w:tcBorders>
            <w:shd w:val="clear" w:color="000000" w:fill="FFFFFF"/>
            <w:noWrap/>
            <w:vAlign w:val="center"/>
            <w:hideMark/>
          </w:tcPr>
          <w:p w14:paraId="72821128"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6</w:t>
            </w:r>
          </w:p>
        </w:tc>
        <w:tc>
          <w:tcPr>
            <w:tcW w:w="1860" w:type="dxa"/>
            <w:tcBorders>
              <w:top w:val="nil"/>
              <w:left w:val="nil"/>
              <w:bottom w:val="nil"/>
              <w:right w:val="single" w:sz="4" w:space="0" w:color="auto"/>
            </w:tcBorders>
            <w:shd w:val="clear" w:color="000000" w:fill="FFFFFF"/>
            <w:noWrap/>
            <w:vAlign w:val="bottom"/>
            <w:hideMark/>
          </w:tcPr>
          <w:p w14:paraId="02D92811" w14:textId="23D0E410"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6594FA19" w14:textId="77777777" w:rsidTr="0037442D">
        <w:trPr>
          <w:trHeight w:val="300"/>
          <w:jc w:val="center"/>
        </w:trPr>
        <w:tc>
          <w:tcPr>
            <w:tcW w:w="1840" w:type="dxa"/>
            <w:tcBorders>
              <w:top w:val="nil"/>
              <w:left w:val="single" w:sz="4" w:space="0" w:color="auto"/>
              <w:bottom w:val="nil"/>
              <w:right w:val="nil"/>
            </w:tcBorders>
            <w:shd w:val="clear" w:color="000000" w:fill="F2F2F2"/>
            <w:noWrap/>
            <w:vAlign w:val="center"/>
            <w:hideMark/>
          </w:tcPr>
          <w:p w14:paraId="19712A96"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13</w:t>
            </w:r>
          </w:p>
        </w:tc>
        <w:tc>
          <w:tcPr>
            <w:tcW w:w="1960" w:type="dxa"/>
            <w:tcBorders>
              <w:top w:val="nil"/>
              <w:left w:val="single" w:sz="4" w:space="0" w:color="auto"/>
              <w:bottom w:val="nil"/>
              <w:right w:val="nil"/>
            </w:tcBorders>
            <w:shd w:val="clear" w:color="000000" w:fill="F2F2F2"/>
            <w:noWrap/>
            <w:vAlign w:val="center"/>
            <w:hideMark/>
          </w:tcPr>
          <w:p w14:paraId="257B871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45</w:t>
            </w:r>
          </w:p>
        </w:tc>
        <w:tc>
          <w:tcPr>
            <w:tcW w:w="1630" w:type="dxa"/>
            <w:tcBorders>
              <w:top w:val="nil"/>
              <w:left w:val="single" w:sz="4" w:space="0" w:color="auto"/>
              <w:bottom w:val="nil"/>
              <w:right w:val="single" w:sz="4" w:space="0" w:color="auto"/>
            </w:tcBorders>
            <w:shd w:val="clear" w:color="000000" w:fill="F2F2F2"/>
            <w:noWrap/>
            <w:vAlign w:val="center"/>
            <w:hideMark/>
          </w:tcPr>
          <w:p w14:paraId="0EFB86C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w:t>
            </w:r>
          </w:p>
        </w:tc>
        <w:tc>
          <w:tcPr>
            <w:tcW w:w="1860" w:type="dxa"/>
            <w:tcBorders>
              <w:top w:val="nil"/>
              <w:left w:val="nil"/>
              <w:bottom w:val="nil"/>
              <w:right w:val="single" w:sz="4" w:space="0" w:color="auto"/>
            </w:tcBorders>
            <w:shd w:val="clear" w:color="000000" w:fill="F2F2F2"/>
            <w:noWrap/>
            <w:vAlign w:val="bottom"/>
            <w:hideMark/>
          </w:tcPr>
          <w:p w14:paraId="626F5ECE" w14:textId="5E8C7714"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047ECF00" w14:textId="77777777" w:rsidTr="0037442D">
        <w:trPr>
          <w:trHeight w:val="300"/>
          <w:jc w:val="center"/>
        </w:trPr>
        <w:tc>
          <w:tcPr>
            <w:tcW w:w="1840" w:type="dxa"/>
            <w:tcBorders>
              <w:top w:val="nil"/>
              <w:left w:val="single" w:sz="4" w:space="0" w:color="auto"/>
              <w:bottom w:val="nil"/>
              <w:right w:val="nil"/>
            </w:tcBorders>
            <w:shd w:val="clear" w:color="000000" w:fill="FFFFFF"/>
            <w:noWrap/>
            <w:vAlign w:val="center"/>
            <w:hideMark/>
          </w:tcPr>
          <w:p w14:paraId="1F4B7530"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14</w:t>
            </w:r>
          </w:p>
        </w:tc>
        <w:tc>
          <w:tcPr>
            <w:tcW w:w="1960" w:type="dxa"/>
            <w:tcBorders>
              <w:top w:val="nil"/>
              <w:left w:val="single" w:sz="4" w:space="0" w:color="auto"/>
              <w:bottom w:val="nil"/>
              <w:right w:val="nil"/>
            </w:tcBorders>
            <w:shd w:val="clear" w:color="000000" w:fill="FFFFFF"/>
            <w:noWrap/>
            <w:vAlign w:val="center"/>
            <w:hideMark/>
          </w:tcPr>
          <w:p w14:paraId="2CDB7FB1"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712 </w:t>
            </w:r>
          </w:p>
        </w:tc>
        <w:tc>
          <w:tcPr>
            <w:tcW w:w="1630" w:type="dxa"/>
            <w:tcBorders>
              <w:top w:val="nil"/>
              <w:left w:val="single" w:sz="4" w:space="0" w:color="auto"/>
              <w:bottom w:val="nil"/>
              <w:right w:val="single" w:sz="4" w:space="0" w:color="auto"/>
            </w:tcBorders>
            <w:shd w:val="clear" w:color="000000" w:fill="FFFFFF"/>
            <w:noWrap/>
            <w:vAlign w:val="center"/>
            <w:hideMark/>
          </w:tcPr>
          <w:p w14:paraId="7BBE6730"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19</w:t>
            </w:r>
          </w:p>
        </w:tc>
        <w:tc>
          <w:tcPr>
            <w:tcW w:w="1860" w:type="dxa"/>
            <w:tcBorders>
              <w:top w:val="nil"/>
              <w:left w:val="nil"/>
              <w:bottom w:val="nil"/>
              <w:right w:val="single" w:sz="4" w:space="0" w:color="auto"/>
            </w:tcBorders>
            <w:shd w:val="clear" w:color="000000" w:fill="FFFFFF"/>
            <w:noWrap/>
            <w:vAlign w:val="bottom"/>
            <w:hideMark/>
          </w:tcPr>
          <w:p w14:paraId="52899DFD" w14:textId="07CA8C55"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0B9859F4" w14:textId="77777777" w:rsidTr="0037442D">
        <w:trPr>
          <w:trHeight w:val="300"/>
          <w:jc w:val="center"/>
        </w:trPr>
        <w:tc>
          <w:tcPr>
            <w:tcW w:w="1840" w:type="dxa"/>
            <w:tcBorders>
              <w:top w:val="nil"/>
              <w:left w:val="single" w:sz="4" w:space="0" w:color="auto"/>
              <w:bottom w:val="nil"/>
              <w:right w:val="nil"/>
            </w:tcBorders>
            <w:shd w:val="clear" w:color="000000" w:fill="F2F2F2"/>
            <w:noWrap/>
            <w:vAlign w:val="center"/>
            <w:hideMark/>
          </w:tcPr>
          <w:p w14:paraId="0FD7EF8C"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15</w:t>
            </w:r>
          </w:p>
        </w:tc>
        <w:tc>
          <w:tcPr>
            <w:tcW w:w="1960" w:type="dxa"/>
            <w:tcBorders>
              <w:top w:val="nil"/>
              <w:left w:val="single" w:sz="4" w:space="0" w:color="auto"/>
              <w:bottom w:val="nil"/>
              <w:right w:val="nil"/>
            </w:tcBorders>
            <w:shd w:val="clear" w:color="000000" w:fill="F2F2F2"/>
            <w:noWrap/>
            <w:vAlign w:val="center"/>
            <w:hideMark/>
          </w:tcPr>
          <w:p w14:paraId="6A0D7857"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174 </w:t>
            </w:r>
          </w:p>
        </w:tc>
        <w:tc>
          <w:tcPr>
            <w:tcW w:w="1630" w:type="dxa"/>
            <w:tcBorders>
              <w:top w:val="nil"/>
              <w:left w:val="single" w:sz="4" w:space="0" w:color="auto"/>
              <w:bottom w:val="nil"/>
              <w:right w:val="single" w:sz="4" w:space="0" w:color="auto"/>
            </w:tcBorders>
            <w:shd w:val="clear" w:color="000000" w:fill="F2F2F2"/>
            <w:noWrap/>
            <w:vAlign w:val="center"/>
            <w:hideMark/>
          </w:tcPr>
          <w:p w14:paraId="21CEA16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5</w:t>
            </w:r>
          </w:p>
        </w:tc>
        <w:tc>
          <w:tcPr>
            <w:tcW w:w="1860" w:type="dxa"/>
            <w:tcBorders>
              <w:top w:val="nil"/>
              <w:left w:val="nil"/>
              <w:bottom w:val="nil"/>
              <w:right w:val="single" w:sz="4" w:space="0" w:color="auto"/>
            </w:tcBorders>
            <w:shd w:val="clear" w:color="000000" w:fill="F2F2F2"/>
            <w:noWrap/>
            <w:vAlign w:val="bottom"/>
            <w:hideMark/>
          </w:tcPr>
          <w:p w14:paraId="0F13F485" w14:textId="546D7B77"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5790C78D" w14:textId="77777777" w:rsidTr="0037442D">
        <w:trPr>
          <w:trHeight w:val="300"/>
          <w:jc w:val="center"/>
        </w:trPr>
        <w:tc>
          <w:tcPr>
            <w:tcW w:w="1840" w:type="dxa"/>
            <w:tcBorders>
              <w:top w:val="nil"/>
              <w:left w:val="single" w:sz="4" w:space="0" w:color="auto"/>
              <w:bottom w:val="nil"/>
              <w:right w:val="nil"/>
            </w:tcBorders>
            <w:shd w:val="clear" w:color="000000" w:fill="FFFFFF"/>
            <w:noWrap/>
            <w:vAlign w:val="center"/>
            <w:hideMark/>
          </w:tcPr>
          <w:p w14:paraId="6EBF8BA0"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16</w:t>
            </w:r>
          </w:p>
        </w:tc>
        <w:tc>
          <w:tcPr>
            <w:tcW w:w="1960" w:type="dxa"/>
            <w:tcBorders>
              <w:top w:val="nil"/>
              <w:left w:val="single" w:sz="4" w:space="0" w:color="auto"/>
              <w:bottom w:val="nil"/>
              <w:right w:val="nil"/>
            </w:tcBorders>
            <w:shd w:val="clear" w:color="000000" w:fill="FFFFFF"/>
            <w:noWrap/>
            <w:vAlign w:val="center"/>
            <w:hideMark/>
          </w:tcPr>
          <w:p w14:paraId="455C7CD9"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332 </w:t>
            </w:r>
          </w:p>
        </w:tc>
        <w:tc>
          <w:tcPr>
            <w:tcW w:w="1630" w:type="dxa"/>
            <w:tcBorders>
              <w:top w:val="nil"/>
              <w:left w:val="single" w:sz="4" w:space="0" w:color="auto"/>
              <w:bottom w:val="nil"/>
              <w:right w:val="single" w:sz="4" w:space="0" w:color="auto"/>
            </w:tcBorders>
            <w:shd w:val="clear" w:color="000000" w:fill="FFFFFF"/>
            <w:noWrap/>
            <w:vAlign w:val="center"/>
            <w:hideMark/>
          </w:tcPr>
          <w:p w14:paraId="082E7743"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9</w:t>
            </w:r>
          </w:p>
        </w:tc>
        <w:tc>
          <w:tcPr>
            <w:tcW w:w="1860" w:type="dxa"/>
            <w:tcBorders>
              <w:top w:val="nil"/>
              <w:left w:val="nil"/>
              <w:bottom w:val="nil"/>
              <w:right w:val="single" w:sz="4" w:space="0" w:color="auto"/>
            </w:tcBorders>
            <w:shd w:val="clear" w:color="000000" w:fill="FFFFFF"/>
            <w:noWrap/>
            <w:vAlign w:val="bottom"/>
            <w:hideMark/>
          </w:tcPr>
          <w:p w14:paraId="79A2046D" w14:textId="6566DC03"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039453F8" w14:textId="77777777" w:rsidTr="0037442D">
        <w:trPr>
          <w:trHeight w:val="300"/>
          <w:jc w:val="center"/>
        </w:trPr>
        <w:tc>
          <w:tcPr>
            <w:tcW w:w="1840" w:type="dxa"/>
            <w:tcBorders>
              <w:top w:val="nil"/>
              <w:left w:val="single" w:sz="4" w:space="0" w:color="auto"/>
              <w:bottom w:val="nil"/>
              <w:right w:val="nil"/>
            </w:tcBorders>
            <w:shd w:val="clear" w:color="000000" w:fill="F2F2F2"/>
            <w:noWrap/>
            <w:vAlign w:val="center"/>
            <w:hideMark/>
          </w:tcPr>
          <w:p w14:paraId="68445319"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17</w:t>
            </w:r>
          </w:p>
        </w:tc>
        <w:tc>
          <w:tcPr>
            <w:tcW w:w="1960" w:type="dxa"/>
            <w:tcBorders>
              <w:top w:val="nil"/>
              <w:left w:val="single" w:sz="4" w:space="0" w:color="auto"/>
              <w:bottom w:val="nil"/>
              <w:right w:val="nil"/>
            </w:tcBorders>
            <w:shd w:val="clear" w:color="000000" w:fill="F2F2F2"/>
            <w:noWrap/>
            <w:vAlign w:val="center"/>
            <w:hideMark/>
          </w:tcPr>
          <w:p w14:paraId="2034CEFC"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43</w:t>
            </w:r>
          </w:p>
        </w:tc>
        <w:tc>
          <w:tcPr>
            <w:tcW w:w="1630" w:type="dxa"/>
            <w:tcBorders>
              <w:top w:val="nil"/>
              <w:left w:val="single" w:sz="4" w:space="0" w:color="auto"/>
              <w:bottom w:val="nil"/>
              <w:right w:val="single" w:sz="4" w:space="0" w:color="auto"/>
            </w:tcBorders>
            <w:shd w:val="clear" w:color="000000" w:fill="F2F2F2"/>
            <w:noWrap/>
            <w:vAlign w:val="center"/>
            <w:hideMark/>
          </w:tcPr>
          <w:p w14:paraId="24F5586A"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w:t>
            </w:r>
          </w:p>
        </w:tc>
        <w:tc>
          <w:tcPr>
            <w:tcW w:w="1860" w:type="dxa"/>
            <w:tcBorders>
              <w:top w:val="nil"/>
              <w:left w:val="nil"/>
              <w:bottom w:val="nil"/>
              <w:right w:val="single" w:sz="4" w:space="0" w:color="auto"/>
            </w:tcBorders>
            <w:shd w:val="clear" w:color="000000" w:fill="F2F2F2"/>
            <w:noWrap/>
            <w:vAlign w:val="bottom"/>
            <w:hideMark/>
          </w:tcPr>
          <w:p w14:paraId="734D9D31" w14:textId="63843148"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25C3DC95" w14:textId="77777777" w:rsidTr="0037442D">
        <w:trPr>
          <w:trHeight w:val="300"/>
          <w:jc w:val="center"/>
        </w:trPr>
        <w:tc>
          <w:tcPr>
            <w:tcW w:w="1840" w:type="dxa"/>
            <w:tcBorders>
              <w:top w:val="nil"/>
              <w:left w:val="single" w:sz="4" w:space="0" w:color="auto"/>
              <w:bottom w:val="nil"/>
              <w:right w:val="nil"/>
            </w:tcBorders>
            <w:shd w:val="clear" w:color="000000" w:fill="FFFFFF"/>
            <w:noWrap/>
            <w:vAlign w:val="center"/>
            <w:hideMark/>
          </w:tcPr>
          <w:p w14:paraId="6C660B9C"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18</w:t>
            </w:r>
          </w:p>
        </w:tc>
        <w:tc>
          <w:tcPr>
            <w:tcW w:w="1960" w:type="dxa"/>
            <w:tcBorders>
              <w:top w:val="nil"/>
              <w:left w:val="single" w:sz="4" w:space="0" w:color="auto"/>
              <w:bottom w:val="nil"/>
              <w:right w:val="nil"/>
            </w:tcBorders>
            <w:shd w:val="clear" w:color="000000" w:fill="FFFFFF"/>
            <w:noWrap/>
            <w:vAlign w:val="center"/>
            <w:hideMark/>
          </w:tcPr>
          <w:p w14:paraId="21D85A8E"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110 </w:t>
            </w:r>
          </w:p>
        </w:tc>
        <w:tc>
          <w:tcPr>
            <w:tcW w:w="1630" w:type="dxa"/>
            <w:tcBorders>
              <w:top w:val="nil"/>
              <w:left w:val="single" w:sz="4" w:space="0" w:color="auto"/>
              <w:bottom w:val="nil"/>
              <w:right w:val="single" w:sz="4" w:space="0" w:color="auto"/>
            </w:tcBorders>
            <w:shd w:val="clear" w:color="000000" w:fill="FFFFFF"/>
            <w:noWrap/>
            <w:vAlign w:val="center"/>
            <w:hideMark/>
          </w:tcPr>
          <w:p w14:paraId="0416CF3C"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3</w:t>
            </w:r>
          </w:p>
        </w:tc>
        <w:tc>
          <w:tcPr>
            <w:tcW w:w="1860" w:type="dxa"/>
            <w:tcBorders>
              <w:top w:val="nil"/>
              <w:left w:val="nil"/>
              <w:bottom w:val="nil"/>
              <w:right w:val="single" w:sz="4" w:space="0" w:color="auto"/>
            </w:tcBorders>
            <w:shd w:val="clear" w:color="000000" w:fill="FFFFFF"/>
            <w:noWrap/>
            <w:vAlign w:val="bottom"/>
            <w:hideMark/>
          </w:tcPr>
          <w:p w14:paraId="7A18D582" w14:textId="406E273D"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01C12C07" w14:textId="77777777" w:rsidTr="0037442D">
        <w:trPr>
          <w:trHeight w:val="300"/>
          <w:jc w:val="center"/>
        </w:trPr>
        <w:tc>
          <w:tcPr>
            <w:tcW w:w="1840" w:type="dxa"/>
            <w:tcBorders>
              <w:top w:val="nil"/>
              <w:left w:val="single" w:sz="4" w:space="0" w:color="auto"/>
              <w:bottom w:val="nil"/>
              <w:right w:val="nil"/>
            </w:tcBorders>
            <w:shd w:val="clear" w:color="000000" w:fill="F2F2F2"/>
            <w:noWrap/>
            <w:vAlign w:val="center"/>
            <w:hideMark/>
          </w:tcPr>
          <w:p w14:paraId="65F1F972"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19</w:t>
            </w:r>
          </w:p>
        </w:tc>
        <w:tc>
          <w:tcPr>
            <w:tcW w:w="1960" w:type="dxa"/>
            <w:tcBorders>
              <w:top w:val="nil"/>
              <w:left w:val="single" w:sz="4" w:space="0" w:color="auto"/>
              <w:bottom w:val="nil"/>
              <w:right w:val="nil"/>
            </w:tcBorders>
            <w:shd w:val="clear" w:color="000000" w:fill="F2F2F2"/>
            <w:noWrap/>
            <w:vAlign w:val="center"/>
            <w:hideMark/>
          </w:tcPr>
          <w:p w14:paraId="0EFB88E5"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356 </w:t>
            </w:r>
          </w:p>
        </w:tc>
        <w:tc>
          <w:tcPr>
            <w:tcW w:w="1630" w:type="dxa"/>
            <w:tcBorders>
              <w:top w:val="nil"/>
              <w:left w:val="single" w:sz="4" w:space="0" w:color="auto"/>
              <w:bottom w:val="nil"/>
              <w:right w:val="single" w:sz="4" w:space="0" w:color="auto"/>
            </w:tcBorders>
            <w:shd w:val="clear" w:color="000000" w:fill="F2F2F2"/>
            <w:noWrap/>
            <w:vAlign w:val="center"/>
            <w:hideMark/>
          </w:tcPr>
          <w:p w14:paraId="62BF840B"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9</w:t>
            </w:r>
          </w:p>
        </w:tc>
        <w:tc>
          <w:tcPr>
            <w:tcW w:w="1860" w:type="dxa"/>
            <w:tcBorders>
              <w:top w:val="nil"/>
              <w:left w:val="nil"/>
              <w:bottom w:val="nil"/>
              <w:right w:val="single" w:sz="4" w:space="0" w:color="auto"/>
            </w:tcBorders>
            <w:shd w:val="clear" w:color="000000" w:fill="F2F2F2"/>
            <w:noWrap/>
            <w:vAlign w:val="bottom"/>
            <w:hideMark/>
          </w:tcPr>
          <w:p w14:paraId="68398571" w14:textId="36EC0359"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783898DF" w14:textId="77777777" w:rsidTr="0037442D">
        <w:trPr>
          <w:trHeight w:val="300"/>
          <w:jc w:val="center"/>
        </w:trPr>
        <w:tc>
          <w:tcPr>
            <w:tcW w:w="1840" w:type="dxa"/>
            <w:tcBorders>
              <w:top w:val="nil"/>
              <w:left w:val="single" w:sz="4" w:space="0" w:color="auto"/>
              <w:bottom w:val="nil"/>
              <w:right w:val="nil"/>
            </w:tcBorders>
            <w:shd w:val="clear" w:color="000000" w:fill="FFFFFF"/>
            <w:noWrap/>
            <w:vAlign w:val="center"/>
            <w:hideMark/>
          </w:tcPr>
          <w:p w14:paraId="6AC2B233"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20</w:t>
            </w:r>
          </w:p>
        </w:tc>
        <w:tc>
          <w:tcPr>
            <w:tcW w:w="1960" w:type="dxa"/>
            <w:tcBorders>
              <w:top w:val="nil"/>
              <w:left w:val="single" w:sz="4" w:space="0" w:color="auto"/>
              <w:bottom w:val="nil"/>
              <w:right w:val="nil"/>
            </w:tcBorders>
            <w:shd w:val="clear" w:color="000000" w:fill="FFFFFF"/>
            <w:noWrap/>
            <w:vAlign w:val="center"/>
            <w:hideMark/>
          </w:tcPr>
          <w:p w14:paraId="4A3B4E6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4</w:t>
            </w:r>
          </w:p>
        </w:tc>
        <w:tc>
          <w:tcPr>
            <w:tcW w:w="1630" w:type="dxa"/>
            <w:tcBorders>
              <w:top w:val="nil"/>
              <w:left w:val="single" w:sz="4" w:space="0" w:color="auto"/>
              <w:bottom w:val="nil"/>
              <w:right w:val="single" w:sz="4" w:space="0" w:color="auto"/>
            </w:tcBorders>
            <w:shd w:val="clear" w:color="000000" w:fill="FFFFFF"/>
            <w:noWrap/>
            <w:vAlign w:val="center"/>
            <w:hideMark/>
          </w:tcPr>
          <w:p w14:paraId="603CC520"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0</w:t>
            </w:r>
          </w:p>
        </w:tc>
        <w:tc>
          <w:tcPr>
            <w:tcW w:w="1860" w:type="dxa"/>
            <w:tcBorders>
              <w:top w:val="nil"/>
              <w:left w:val="nil"/>
              <w:bottom w:val="nil"/>
              <w:right w:val="single" w:sz="4" w:space="0" w:color="auto"/>
            </w:tcBorders>
            <w:shd w:val="clear" w:color="000000" w:fill="FFFFFF"/>
            <w:noWrap/>
            <w:vAlign w:val="bottom"/>
            <w:hideMark/>
          </w:tcPr>
          <w:p w14:paraId="16633D6F" w14:textId="6E7354BA"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54BF3874" w14:textId="77777777" w:rsidTr="0037442D">
        <w:trPr>
          <w:trHeight w:val="300"/>
          <w:jc w:val="center"/>
        </w:trPr>
        <w:tc>
          <w:tcPr>
            <w:tcW w:w="1840" w:type="dxa"/>
            <w:tcBorders>
              <w:top w:val="nil"/>
              <w:left w:val="single" w:sz="4" w:space="0" w:color="auto"/>
              <w:bottom w:val="nil"/>
              <w:right w:val="nil"/>
            </w:tcBorders>
            <w:shd w:val="clear" w:color="000000" w:fill="F2F2F2"/>
            <w:noWrap/>
            <w:vAlign w:val="center"/>
            <w:hideMark/>
          </w:tcPr>
          <w:p w14:paraId="2E4DA324"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21</w:t>
            </w:r>
          </w:p>
        </w:tc>
        <w:tc>
          <w:tcPr>
            <w:tcW w:w="1960" w:type="dxa"/>
            <w:tcBorders>
              <w:top w:val="nil"/>
              <w:left w:val="single" w:sz="4" w:space="0" w:color="auto"/>
              <w:bottom w:val="nil"/>
              <w:right w:val="nil"/>
            </w:tcBorders>
            <w:shd w:val="clear" w:color="000000" w:fill="F2F2F2"/>
            <w:noWrap/>
            <w:vAlign w:val="center"/>
            <w:hideMark/>
          </w:tcPr>
          <w:p w14:paraId="737866EE"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115 </w:t>
            </w:r>
          </w:p>
        </w:tc>
        <w:tc>
          <w:tcPr>
            <w:tcW w:w="1630" w:type="dxa"/>
            <w:tcBorders>
              <w:top w:val="nil"/>
              <w:left w:val="single" w:sz="4" w:space="0" w:color="auto"/>
              <w:bottom w:val="nil"/>
              <w:right w:val="single" w:sz="4" w:space="0" w:color="auto"/>
            </w:tcBorders>
            <w:shd w:val="clear" w:color="000000" w:fill="F2F2F2"/>
            <w:noWrap/>
            <w:vAlign w:val="center"/>
            <w:hideMark/>
          </w:tcPr>
          <w:p w14:paraId="6D11A3E8"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3</w:t>
            </w:r>
          </w:p>
        </w:tc>
        <w:tc>
          <w:tcPr>
            <w:tcW w:w="1860" w:type="dxa"/>
            <w:tcBorders>
              <w:top w:val="nil"/>
              <w:left w:val="nil"/>
              <w:bottom w:val="nil"/>
              <w:right w:val="single" w:sz="4" w:space="0" w:color="auto"/>
            </w:tcBorders>
            <w:shd w:val="clear" w:color="000000" w:fill="F2F2F2"/>
            <w:noWrap/>
            <w:vAlign w:val="bottom"/>
            <w:hideMark/>
          </w:tcPr>
          <w:p w14:paraId="58C9E767" w14:textId="0182EF91"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59FA70DE" w14:textId="77777777" w:rsidTr="0037442D">
        <w:trPr>
          <w:trHeight w:val="315"/>
          <w:jc w:val="center"/>
        </w:trPr>
        <w:tc>
          <w:tcPr>
            <w:tcW w:w="1840" w:type="dxa"/>
            <w:tcBorders>
              <w:top w:val="nil"/>
              <w:left w:val="single" w:sz="4" w:space="0" w:color="auto"/>
              <w:bottom w:val="nil"/>
              <w:right w:val="nil"/>
            </w:tcBorders>
            <w:shd w:val="clear" w:color="000000" w:fill="FFFFFF"/>
            <w:noWrap/>
            <w:vAlign w:val="center"/>
            <w:hideMark/>
          </w:tcPr>
          <w:p w14:paraId="46E59268"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22</w:t>
            </w:r>
          </w:p>
        </w:tc>
        <w:tc>
          <w:tcPr>
            <w:tcW w:w="1960" w:type="dxa"/>
            <w:tcBorders>
              <w:top w:val="nil"/>
              <w:left w:val="single" w:sz="4" w:space="0" w:color="auto"/>
              <w:bottom w:val="nil"/>
              <w:right w:val="nil"/>
            </w:tcBorders>
            <w:shd w:val="clear" w:color="000000" w:fill="FFFFFF"/>
            <w:noWrap/>
            <w:vAlign w:val="center"/>
            <w:hideMark/>
          </w:tcPr>
          <w:p w14:paraId="702E7892"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 xml:space="preserve">134 </w:t>
            </w:r>
          </w:p>
        </w:tc>
        <w:tc>
          <w:tcPr>
            <w:tcW w:w="1630" w:type="dxa"/>
            <w:tcBorders>
              <w:top w:val="nil"/>
              <w:left w:val="single" w:sz="4" w:space="0" w:color="auto"/>
              <w:bottom w:val="nil"/>
              <w:right w:val="single" w:sz="4" w:space="0" w:color="auto"/>
            </w:tcBorders>
            <w:shd w:val="clear" w:color="000000" w:fill="FFFFFF"/>
            <w:noWrap/>
            <w:vAlign w:val="center"/>
            <w:hideMark/>
          </w:tcPr>
          <w:p w14:paraId="41D45C3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4</w:t>
            </w:r>
          </w:p>
        </w:tc>
        <w:tc>
          <w:tcPr>
            <w:tcW w:w="1860" w:type="dxa"/>
            <w:tcBorders>
              <w:top w:val="nil"/>
              <w:left w:val="nil"/>
              <w:bottom w:val="nil"/>
              <w:right w:val="single" w:sz="4" w:space="0" w:color="auto"/>
            </w:tcBorders>
            <w:shd w:val="clear" w:color="000000" w:fill="FFFFFF"/>
            <w:noWrap/>
            <w:vAlign w:val="bottom"/>
            <w:hideMark/>
          </w:tcPr>
          <w:p w14:paraId="0AE3A33F" w14:textId="3FE9B2AB"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0719EE" w14:paraId="6618B81F" w14:textId="77777777" w:rsidTr="0037442D">
        <w:trPr>
          <w:trHeight w:val="315"/>
          <w:jc w:val="center"/>
        </w:trPr>
        <w:tc>
          <w:tcPr>
            <w:tcW w:w="184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77C8CB56" w14:textId="77777777" w:rsidR="0037442D" w:rsidRPr="009E45C7" w:rsidRDefault="0037442D" w:rsidP="0037442D">
            <w:pPr>
              <w:spacing w:after="0" w:line="240" w:lineRule="auto"/>
              <w:jc w:val="center"/>
              <w:rPr>
                <w:rFonts w:asciiTheme="majorBidi" w:eastAsia="Times New Roman" w:hAnsiTheme="majorBidi" w:cstheme="majorBidi"/>
                <w:b/>
                <w:bCs/>
                <w:color w:val="000000"/>
                <w:szCs w:val="24"/>
              </w:rPr>
            </w:pPr>
            <w:r w:rsidRPr="009E45C7">
              <w:rPr>
                <w:rFonts w:asciiTheme="majorBidi" w:eastAsia="Times New Roman" w:hAnsiTheme="majorBidi" w:cstheme="majorBidi"/>
                <w:b/>
                <w:bCs/>
                <w:color w:val="000000"/>
                <w:szCs w:val="24"/>
              </w:rPr>
              <w:t>Total</w:t>
            </w:r>
          </w:p>
        </w:tc>
        <w:tc>
          <w:tcPr>
            <w:tcW w:w="1960" w:type="dxa"/>
            <w:tcBorders>
              <w:top w:val="single" w:sz="8" w:space="0" w:color="auto"/>
              <w:left w:val="nil"/>
              <w:bottom w:val="single" w:sz="8" w:space="0" w:color="auto"/>
              <w:right w:val="single" w:sz="4" w:space="0" w:color="auto"/>
            </w:tcBorders>
            <w:shd w:val="clear" w:color="000000" w:fill="F2F2F2"/>
            <w:noWrap/>
            <w:vAlign w:val="center"/>
            <w:hideMark/>
          </w:tcPr>
          <w:p w14:paraId="6D2DA883" w14:textId="77777777" w:rsidR="0037442D" w:rsidRPr="009E45C7" w:rsidRDefault="0037442D" w:rsidP="0037442D">
            <w:pPr>
              <w:spacing w:after="0" w:line="240" w:lineRule="auto"/>
              <w:jc w:val="center"/>
              <w:rPr>
                <w:rFonts w:asciiTheme="majorBidi" w:eastAsia="Times New Roman" w:hAnsiTheme="majorBidi" w:cstheme="majorBidi"/>
                <w:b/>
                <w:bCs/>
                <w:color w:val="000000"/>
                <w:szCs w:val="24"/>
              </w:rPr>
            </w:pPr>
            <w:r w:rsidRPr="009E45C7">
              <w:rPr>
                <w:rFonts w:asciiTheme="majorBidi" w:eastAsia="Times New Roman" w:hAnsiTheme="majorBidi" w:cstheme="majorBidi"/>
                <w:b/>
                <w:bCs/>
                <w:color w:val="000000"/>
                <w:szCs w:val="24"/>
              </w:rPr>
              <w:t xml:space="preserve">4631 </w:t>
            </w:r>
          </w:p>
        </w:tc>
        <w:tc>
          <w:tcPr>
            <w:tcW w:w="1630" w:type="dxa"/>
            <w:tcBorders>
              <w:top w:val="single" w:sz="8" w:space="0" w:color="auto"/>
              <w:left w:val="nil"/>
              <w:bottom w:val="single" w:sz="8" w:space="0" w:color="auto"/>
              <w:right w:val="single" w:sz="4" w:space="0" w:color="auto"/>
            </w:tcBorders>
            <w:shd w:val="clear" w:color="000000" w:fill="F2F2F2"/>
            <w:noWrap/>
            <w:vAlign w:val="center"/>
            <w:hideMark/>
          </w:tcPr>
          <w:p w14:paraId="0BA6969D" w14:textId="77777777" w:rsidR="0037442D" w:rsidRPr="009E45C7" w:rsidRDefault="0037442D" w:rsidP="0037442D">
            <w:pPr>
              <w:spacing w:after="0" w:line="240" w:lineRule="auto"/>
              <w:jc w:val="center"/>
              <w:rPr>
                <w:rFonts w:asciiTheme="majorBidi" w:eastAsia="Times New Roman" w:hAnsiTheme="majorBidi" w:cstheme="majorBidi"/>
                <w:b/>
                <w:bCs/>
                <w:color w:val="000000"/>
                <w:szCs w:val="24"/>
              </w:rPr>
            </w:pPr>
            <w:r w:rsidRPr="009E45C7">
              <w:rPr>
                <w:rFonts w:asciiTheme="majorBidi" w:eastAsia="Times New Roman" w:hAnsiTheme="majorBidi" w:cstheme="majorBidi"/>
                <w:b/>
                <w:bCs/>
                <w:color w:val="000000"/>
                <w:szCs w:val="24"/>
              </w:rPr>
              <w:t xml:space="preserve">122 </w:t>
            </w:r>
          </w:p>
        </w:tc>
        <w:tc>
          <w:tcPr>
            <w:tcW w:w="1860" w:type="dxa"/>
            <w:tcBorders>
              <w:top w:val="single" w:sz="8" w:space="0" w:color="auto"/>
              <w:left w:val="nil"/>
              <w:bottom w:val="single" w:sz="8" w:space="0" w:color="auto"/>
              <w:right w:val="single" w:sz="8" w:space="0" w:color="auto"/>
            </w:tcBorders>
            <w:shd w:val="clear" w:color="000000" w:fill="F2F2F2"/>
            <w:noWrap/>
            <w:vAlign w:val="center"/>
            <w:hideMark/>
          </w:tcPr>
          <w:p w14:paraId="10ECC39A" w14:textId="77777777" w:rsidR="0037442D" w:rsidRPr="009E45C7" w:rsidRDefault="0037442D" w:rsidP="00457D00">
            <w:pPr>
              <w:keepNext/>
              <w:spacing w:after="0" w:line="240" w:lineRule="auto"/>
              <w:jc w:val="center"/>
              <w:rPr>
                <w:rFonts w:asciiTheme="majorBidi" w:eastAsia="Times New Roman" w:hAnsiTheme="majorBidi" w:cstheme="majorBidi"/>
                <w:b/>
                <w:bCs/>
                <w:color w:val="000000"/>
                <w:szCs w:val="24"/>
              </w:rPr>
            </w:pPr>
            <w:r w:rsidRPr="009E45C7">
              <w:rPr>
                <w:rFonts w:asciiTheme="majorBidi" w:eastAsia="Times New Roman" w:hAnsiTheme="majorBidi" w:cstheme="majorBidi"/>
                <w:b/>
                <w:bCs/>
                <w:color w:val="000000"/>
                <w:szCs w:val="24"/>
              </w:rPr>
              <w:t>0</w:t>
            </w:r>
          </w:p>
        </w:tc>
      </w:tr>
    </w:tbl>
    <w:p w14:paraId="4E77F7BD" w14:textId="794CD47B" w:rsidR="00457D00" w:rsidRDefault="00457D00" w:rsidP="00457D00">
      <w:pPr>
        <w:pStyle w:val="Caption"/>
        <w:spacing w:before="120" w:after="120"/>
        <w:jc w:val="center"/>
      </w:pPr>
      <w:bookmarkStart w:id="13" w:name="_Ref426969856"/>
      <w:r>
        <w:t>Table 6-</w:t>
      </w:r>
      <w:r w:rsidR="00780B68">
        <w:fldChar w:fldCharType="begin"/>
      </w:r>
      <w:r w:rsidR="00780B68">
        <w:instrText xml:space="preserve"> SEQ Table_6- \* ARABIC </w:instrText>
      </w:r>
      <w:r w:rsidR="00780B68">
        <w:fldChar w:fldCharType="separate"/>
      </w:r>
      <w:r w:rsidR="00530B01">
        <w:rPr>
          <w:noProof/>
        </w:rPr>
        <w:t>2</w:t>
      </w:r>
      <w:r w:rsidR="00780B68">
        <w:rPr>
          <w:noProof/>
        </w:rPr>
        <w:fldChar w:fldCharType="end"/>
      </w:r>
      <w:r>
        <w:t xml:space="preserve"> </w:t>
      </w:r>
      <w:r>
        <w:rPr>
          <w:noProof/>
        </w:rPr>
        <w:t>Recommended number of WQMPs</w:t>
      </w:r>
      <w:bookmarkEnd w:id="13"/>
    </w:p>
    <w:p w14:paraId="5550AE18" w14:textId="172BDE46" w:rsidR="002741F4" w:rsidRDefault="00843BFD" w:rsidP="002741F4">
      <w:r>
        <w:t xml:space="preserve">SELECT identified cattle from livestock operations as a </w:t>
      </w:r>
      <w:r w:rsidR="00344CA5">
        <w:t xml:space="preserve">potential </w:t>
      </w:r>
      <w:r>
        <w:t>principal contributor to bacteria in the Double Bayou Watershed</w:t>
      </w:r>
      <w:r w:rsidR="002741F4">
        <w:t xml:space="preserve"> (</w:t>
      </w:r>
      <w:r w:rsidR="002741F4">
        <w:fldChar w:fldCharType="begin"/>
      </w:r>
      <w:r w:rsidR="002741F4">
        <w:instrText xml:space="preserve"> REF _Ref421190673 \h </w:instrText>
      </w:r>
      <w:r w:rsidR="002741F4">
        <w:fldChar w:fldCharType="separate"/>
      </w:r>
      <w:r w:rsidR="00153D09">
        <w:t>Figure 6-</w:t>
      </w:r>
      <w:r w:rsidR="00153D09">
        <w:rPr>
          <w:noProof/>
        </w:rPr>
        <w:t>2</w:t>
      </w:r>
      <w:r w:rsidR="00153D09">
        <w:t xml:space="preserve"> Livestock along West Fork Double Bayou</w:t>
      </w:r>
      <w:r w:rsidR="002741F4">
        <w:fldChar w:fldCharType="end"/>
      </w:r>
      <w:r w:rsidR="002741F4">
        <w:t>).</w:t>
      </w:r>
      <w:r w:rsidR="00BD7971">
        <w:t xml:space="preserve"> </w:t>
      </w:r>
      <w:r>
        <w:t>Horses were also identified by SELECT as having a moderate potential. Emphasis will be pl</w:t>
      </w:r>
      <w:r w:rsidR="002741F4">
        <w:t xml:space="preserve">aced on the management measures which </w:t>
      </w:r>
      <w:r w:rsidR="00D46B3D">
        <w:t>reduce</w:t>
      </w:r>
      <w:r w:rsidR="002741F4">
        <w:t xml:space="preserve"> bacteria runoff into the bayous.</w:t>
      </w:r>
      <w:r w:rsidR="002741F4" w:rsidRPr="007216B5">
        <w:t xml:space="preserve"> </w:t>
      </w:r>
      <w:r w:rsidR="002741F4">
        <w:t>BMPs that are multiuse management measures will be given priority and should be included in the WQMPs as much as possible.</w:t>
      </w:r>
      <w:r w:rsidR="002741F4" w:rsidRPr="00DE2AFA">
        <w:t xml:space="preserve"> </w:t>
      </w:r>
    </w:p>
    <w:p w14:paraId="2CC8AD1D" w14:textId="1D5F0245" w:rsidR="002741F4" w:rsidRDefault="00B9187E" w:rsidP="002741F4">
      <w:r>
        <w:rPr>
          <w:noProof/>
          <w:lang w:eastAsia="en-US"/>
        </w:rPr>
        <w:lastRenderedPageBreak/>
        <mc:AlternateContent>
          <mc:Choice Requires="wps">
            <w:drawing>
              <wp:anchor distT="0" distB="0" distL="114300" distR="114300" simplePos="0" relativeHeight="251663360" behindDoc="0" locked="0" layoutInCell="1" allowOverlap="1" wp14:anchorId="629AB54B" wp14:editId="5C19C916">
                <wp:simplePos x="0" y="0"/>
                <wp:positionH relativeFrom="column">
                  <wp:posOffset>701040</wp:posOffset>
                </wp:positionH>
                <wp:positionV relativeFrom="paragraph">
                  <wp:posOffset>3383280</wp:posOffset>
                </wp:positionV>
                <wp:extent cx="4572000" cy="167640"/>
                <wp:effectExtent l="0" t="0" r="0" b="3810"/>
                <wp:wrapTopAndBottom/>
                <wp:docPr id="5" name="Text Box 5"/>
                <wp:cNvGraphicFramePr/>
                <a:graphic xmlns:a="http://schemas.openxmlformats.org/drawingml/2006/main">
                  <a:graphicData uri="http://schemas.microsoft.com/office/word/2010/wordprocessingShape">
                    <wps:wsp>
                      <wps:cNvSpPr txBox="1"/>
                      <wps:spPr>
                        <a:xfrm>
                          <a:off x="0" y="0"/>
                          <a:ext cx="4572000" cy="167640"/>
                        </a:xfrm>
                        <a:prstGeom prst="rect">
                          <a:avLst/>
                        </a:prstGeom>
                        <a:solidFill>
                          <a:prstClr val="white"/>
                        </a:solidFill>
                        <a:ln>
                          <a:noFill/>
                        </a:ln>
                        <a:effectLst/>
                      </wps:spPr>
                      <wps:txbx>
                        <w:txbxContent>
                          <w:p w14:paraId="00F399AA" w14:textId="049412EE" w:rsidR="002741F4" w:rsidRPr="0064190A" w:rsidRDefault="00D975B3" w:rsidP="002741F4">
                            <w:pPr>
                              <w:pStyle w:val="Caption"/>
                              <w:jc w:val="center"/>
                              <w:rPr>
                                <w:noProof/>
                                <w:color w:val="000000" w:themeColor="text1"/>
                                <w:sz w:val="24"/>
                              </w:rPr>
                            </w:pPr>
                            <w:bookmarkStart w:id="14" w:name="_Ref421190673"/>
                            <w:r>
                              <w:t>Figure 6</w:t>
                            </w:r>
                            <w:r w:rsidR="002741F4">
                              <w:t>-</w:t>
                            </w:r>
                            <w:r w:rsidR="00780B68">
                              <w:fldChar w:fldCharType="begin"/>
                            </w:r>
                            <w:r w:rsidR="00780B68">
                              <w:instrText xml:space="preserve"> SEQ Figure_7- \* ARABIC </w:instrText>
                            </w:r>
                            <w:r w:rsidR="00780B68">
                              <w:fldChar w:fldCharType="separate"/>
                            </w:r>
                            <w:r w:rsidR="00153D09">
                              <w:rPr>
                                <w:noProof/>
                              </w:rPr>
                              <w:t>2</w:t>
                            </w:r>
                            <w:r w:rsidR="00780B68">
                              <w:rPr>
                                <w:noProof/>
                              </w:rPr>
                              <w:fldChar w:fldCharType="end"/>
                            </w:r>
                            <w:r w:rsidR="002741F4">
                              <w:t xml:space="preserve"> Livestock along West Fork Double Bayou</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9AB54B" id="_x0000_t202" coordsize="21600,21600" o:spt="202" path="m,l,21600r21600,l21600,xe">
                <v:stroke joinstyle="miter"/>
                <v:path gradientshapeok="t" o:connecttype="rect"/>
              </v:shapetype>
              <v:shape id="Text Box 5" o:spid="_x0000_s1027" type="#_x0000_t202" style="position:absolute;margin-left:55.2pt;margin-top:266.4pt;width:5in;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" stroked="f">
                <v:textbox inset="0,0,0,0">
                  <w:txbxContent>
                    <w:p w14:paraId="00F399AA" w14:textId="049412EE" w:rsidR="002741F4" w:rsidRPr="0064190A" w:rsidRDefault="00D975B3" w:rsidP="002741F4">
                      <w:pPr>
                        <w:pStyle w:val="Caption"/>
                        <w:jc w:val="center"/>
                        <w:rPr>
                          <w:noProof/>
                          <w:color w:val="000000" w:themeColor="text1"/>
                          <w:sz w:val="24"/>
                        </w:rPr>
                      </w:pPr>
                      <w:bookmarkStart w:id="14" w:name="_Ref421190673"/>
                      <w:r>
                        <w:t>Figure 6</w:t>
                      </w:r>
                      <w:r w:rsidR="002741F4">
                        <w:t>-</w:t>
                      </w:r>
                      <w:fldSimple w:instr=" SEQ Figure_7- \* ARABIC ">
                        <w:r w:rsidR="00153D09">
                          <w:rPr>
                            <w:noProof/>
                          </w:rPr>
                          <w:t>2</w:t>
                        </w:r>
                      </w:fldSimple>
                      <w:r w:rsidR="002741F4">
                        <w:t xml:space="preserve"> Livestock along West Fork Double Bayou</w:t>
                      </w:r>
                      <w:bookmarkEnd w:id="14"/>
                    </w:p>
                  </w:txbxContent>
                </v:textbox>
                <w10:wrap type="topAndBottom"/>
              </v:shape>
            </w:pict>
          </mc:Fallback>
        </mc:AlternateContent>
      </w:r>
      <w:r w:rsidR="00D05D70">
        <w:rPr>
          <w:noProof/>
          <w:lang w:eastAsia="en-US"/>
        </w:rPr>
        <w:drawing>
          <wp:anchor distT="0" distB="0" distL="114300" distR="114300" simplePos="0" relativeHeight="251658240" behindDoc="0" locked="0" layoutInCell="1" allowOverlap="1" wp14:anchorId="505918DE" wp14:editId="60E6D9AC">
            <wp:simplePos x="0" y="0"/>
            <wp:positionH relativeFrom="margin">
              <wp:posOffset>707136</wp:posOffset>
            </wp:positionH>
            <wp:positionV relativeFrom="paragraph">
              <wp:posOffset>60960</wp:posOffset>
            </wp:positionV>
            <wp:extent cx="4572000" cy="3218180"/>
            <wp:effectExtent l="114300" t="57150" r="57150" b="11557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32220016-15.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4572000" cy="3218180"/>
                    </a:xfrm>
                    <a:prstGeom prst="rect">
                      <a:avLst/>
                    </a:prstGeom>
                    <a:ln>
                      <a:solidFill>
                        <a:schemeClr val="tx1"/>
                      </a:solidFill>
                    </a:ln>
                    <a:effectLst>
                      <a:outerShdw blurRad="50800" dist="38100" dir="8100000" algn="tr" rotWithShape="0">
                        <a:prstClr val="black">
                          <a:alpha val="40000"/>
                        </a:prstClr>
                      </a:outerShdw>
                    </a:effectLst>
                  </pic:spPr>
                </pic:pic>
              </a:graphicData>
            </a:graphic>
          </wp:anchor>
        </w:drawing>
      </w:r>
    </w:p>
    <w:p w14:paraId="4520540B" w14:textId="2E901238" w:rsidR="00843BFD" w:rsidRDefault="00843BFD" w:rsidP="00AA42CD">
      <w:r>
        <w:t xml:space="preserve">The stakeholders </w:t>
      </w:r>
      <w:r w:rsidR="002F1976">
        <w:t>suggested</w:t>
      </w:r>
      <w:r>
        <w:t xml:space="preserve"> that the following </w:t>
      </w:r>
      <w:r w:rsidR="00B17DE8">
        <w:t>BMPs</w:t>
      </w:r>
      <w:r>
        <w:t xml:space="preserve"> would be </w:t>
      </w:r>
      <w:r w:rsidR="006307C0">
        <w:t xml:space="preserve">some examples that would </w:t>
      </w:r>
      <w:r>
        <w:t xml:space="preserve">address nonpoint source runoff from agriculture and livestock in the </w:t>
      </w:r>
      <w:r w:rsidR="006307C0">
        <w:t xml:space="preserve">Double Bayou </w:t>
      </w:r>
      <w:r w:rsidR="00CD6643">
        <w:t xml:space="preserve">watershed (Technical reference for agricultural BMPs </w:t>
      </w:r>
      <w:r w:rsidR="00CD6643">
        <w:fldChar w:fldCharType="begin"/>
      </w:r>
      <w:r w:rsidR="00CD6643">
        <w:instrText xml:space="preserve"> ADDIN EN.CITE &lt;EndNote&gt;&lt;Cite&gt;&lt;Author&gt;Peterson&lt;/Author&gt;&lt;Year&gt;2012&lt;/Year&gt;&lt;RecNum&gt;26&lt;/RecNum&gt;&lt;DisplayText&gt;(Peterson, Jordan et al. 2012)&lt;/DisplayText&gt;&lt;record&gt;&lt;rec-number&gt;26&lt;/rec-number&gt;&lt;foreign-keys&gt;&lt;key app="EN" db-id="tse0ewe2av92a6edfpsvaar9d5vawtszwsf9"&gt;26&lt;/key&gt;&lt;/foreign-keys&gt;&lt;ref-type name="Report"&gt;27&lt;/ref-type&gt;&lt;contributors&gt;&lt;authors&gt;&lt;author&gt;Jennifer Peterson&lt;/author&gt;&lt;author&gt;Ellen Jordan&lt;/author&gt;&lt;author&gt;Kevin Wagner&lt;/author&gt;&lt;author&gt;Larry Redmon&lt;/author&gt;&lt;/authors&gt;&lt;subsidiary-authors&gt;&lt;author&gt;Lone Star Healthy Streams&lt;/author&gt;&lt;/subsidiary-authors&gt;&lt;/contributors&gt;&lt;titles&gt;&lt;title&gt;Lone Star Healthy Streams Dairy Cattle Manual&lt;/title&gt;&lt;/titles&gt;&lt;dates&gt;&lt;year&gt;2012&lt;/year&gt;&lt;pub-dates&gt;&lt;date&gt;07/12&lt;/date&gt;&lt;/pub-dates&gt;&lt;/dates&gt;&lt;publisher&gt;Texas A&amp;amp;M AgriLife Extension&lt;/publisher&gt;&lt;urls&gt;&lt;/urls&gt;&lt;/record&gt;&lt;/Cite&gt;&lt;/EndNote&gt;</w:instrText>
      </w:r>
      <w:r w:rsidR="00CD6643">
        <w:fldChar w:fldCharType="separate"/>
      </w:r>
      <w:r w:rsidR="00CD6643">
        <w:rPr>
          <w:noProof/>
        </w:rPr>
        <w:t>(</w:t>
      </w:r>
      <w:hyperlink w:anchor="_ENREF_1" w:tooltip="Peterson, 2012 #26" w:history="1">
        <w:r w:rsidR="00AA42CD">
          <w:rPr>
            <w:noProof/>
          </w:rPr>
          <w:t>Peterson, Jordan et al. 2012</w:t>
        </w:r>
      </w:hyperlink>
      <w:r w:rsidR="00CD6643">
        <w:rPr>
          <w:noProof/>
        </w:rPr>
        <w:t>)</w:t>
      </w:r>
      <w:r w:rsidR="00CD6643">
        <w:fldChar w:fldCharType="end"/>
      </w:r>
      <w:r w:rsidR="00AA42CD">
        <w:t>)</w:t>
      </w:r>
      <w:r w:rsidR="00CD6643">
        <w:t>:</w:t>
      </w:r>
    </w:p>
    <w:p w14:paraId="0FB8D9F5" w14:textId="01028BA6" w:rsidR="00DC066C" w:rsidRDefault="00843BFD" w:rsidP="00AA42CD">
      <w:pPr>
        <w:pStyle w:val="ListParagraph"/>
        <w:numPr>
          <w:ilvl w:val="0"/>
          <w:numId w:val="1"/>
        </w:numPr>
      </w:pPr>
      <w:r w:rsidRPr="00EA749B">
        <w:rPr>
          <w:b/>
          <w:bCs/>
          <w:i/>
          <w:iCs/>
        </w:rPr>
        <w:t>Prescribed G</w:t>
      </w:r>
      <w:r w:rsidR="0083453E" w:rsidRPr="00EA749B">
        <w:rPr>
          <w:b/>
          <w:bCs/>
          <w:i/>
          <w:iCs/>
        </w:rPr>
        <w:t>razing</w:t>
      </w:r>
      <w:r w:rsidR="0083453E">
        <w:t>:</w:t>
      </w:r>
      <w:r w:rsidR="00DC066C">
        <w:t xml:space="preserve"> The controlled harvest of vegetation by grazing animals to facilitate stable plant communities that can then improve surface and subsurface water quality. </w:t>
      </w:r>
    </w:p>
    <w:p w14:paraId="10443ED5" w14:textId="00DD893D" w:rsidR="0047727B" w:rsidRDefault="00DC066C" w:rsidP="00AA42CD">
      <w:pPr>
        <w:pStyle w:val="ListParagraph"/>
        <w:numPr>
          <w:ilvl w:val="0"/>
          <w:numId w:val="1"/>
        </w:numPr>
      </w:pPr>
      <w:r w:rsidRPr="00EA749B">
        <w:rPr>
          <w:b/>
          <w:bCs/>
          <w:i/>
          <w:iCs/>
        </w:rPr>
        <w:t>Alternative</w:t>
      </w:r>
      <w:r w:rsidR="00843BFD" w:rsidRPr="00EA749B">
        <w:rPr>
          <w:b/>
          <w:bCs/>
          <w:i/>
          <w:iCs/>
        </w:rPr>
        <w:t xml:space="preserve"> Water Sources</w:t>
      </w:r>
      <w:r w:rsidR="007911D6">
        <w:t>:</w:t>
      </w:r>
      <w:r w:rsidR="0047727B">
        <w:t xml:space="preserve"> Can be a permanent or semi-permanent off-stream structure</w:t>
      </w:r>
      <w:r w:rsidR="00DF3B80">
        <w:t xml:space="preserve"> such as,</w:t>
      </w:r>
      <w:r w:rsidR="0047727B">
        <w:t xml:space="preserve"> a t</w:t>
      </w:r>
      <w:r w:rsidR="00D05D70">
        <w:t>rough, pond or similar vessel</w:t>
      </w:r>
      <w:r w:rsidR="0047727B">
        <w:t xml:space="preserve"> that allows livestock to drink ample supplies of fresh water away from the bayou. At this distance they are less likely to distribute fecal waste directly into the receiving waters. The alternative water sources often provide a shade structure as an additional incentive for use by livestock. </w:t>
      </w:r>
    </w:p>
    <w:p w14:paraId="12ABF1F0" w14:textId="3AD36022" w:rsidR="00843BFD" w:rsidRDefault="00843BFD" w:rsidP="00AA42CD">
      <w:pPr>
        <w:pStyle w:val="ListParagraph"/>
        <w:numPr>
          <w:ilvl w:val="0"/>
          <w:numId w:val="1"/>
        </w:numPr>
      </w:pPr>
      <w:r w:rsidRPr="00EA749B">
        <w:rPr>
          <w:b/>
          <w:bCs/>
          <w:i/>
          <w:iCs/>
        </w:rPr>
        <w:t>Stream Crossings</w:t>
      </w:r>
      <w:r w:rsidR="007911D6">
        <w:t>:</w:t>
      </w:r>
      <w:r w:rsidR="000E3DB3">
        <w:t xml:space="preserve"> Provide a </w:t>
      </w:r>
      <w:r w:rsidR="00D5552B">
        <w:t xml:space="preserve">safe crossing for livestock, grazing animals and people </w:t>
      </w:r>
      <w:r w:rsidR="000E3DB3">
        <w:t xml:space="preserve">to cross the </w:t>
      </w:r>
      <w:r w:rsidR="00D5552B">
        <w:t>bayou</w:t>
      </w:r>
      <w:r w:rsidR="00672805">
        <w:t>. Stream crossings are</w:t>
      </w:r>
      <w:r w:rsidR="000E3DB3">
        <w:t xml:space="preserve"> more stable than the bayous bank which, can be eroded</w:t>
      </w:r>
      <w:r w:rsidR="00672805">
        <w:t xml:space="preserve"> by</w:t>
      </w:r>
      <w:r w:rsidR="00D5552B">
        <w:t xml:space="preserve"> livestock</w:t>
      </w:r>
      <w:r w:rsidR="000E3DB3">
        <w:t xml:space="preserve"> causing sedimentation of the waterways.</w:t>
      </w:r>
      <w:r w:rsidR="00D5552B">
        <w:t xml:space="preserve"> The crossings give livestock an opportunity to drink while reducing the overall instream loafing time.</w:t>
      </w:r>
      <w:r w:rsidR="000E3DB3">
        <w:t xml:space="preserve"> Stream crossings </w:t>
      </w:r>
      <w:r w:rsidR="00672805">
        <w:t xml:space="preserve">can also </w:t>
      </w:r>
      <w:r w:rsidR="000E3DB3">
        <w:t xml:space="preserve">prevent injury to livestock that are forced to cross steep banks when seeking a water source or trying to cross the bayou. </w:t>
      </w:r>
    </w:p>
    <w:p w14:paraId="2D226C45" w14:textId="50F1F84A" w:rsidR="00D46B3D" w:rsidRDefault="00D46B3D" w:rsidP="00D46B3D">
      <w:pPr>
        <w:pStyle w:val="ListParagraph"/>
        <w:numPr>
          <w:ilvl w:val="0"/>
          <w:numId w:val="1"/>
        </w:numPr>
      </w:pPr>
      <w:r>
        <w:rPr>
          <w:b/>
          <w:bCs/>
          <w:i/>
          <w:iCs/>
        </w:rPr>
        <w:t>Grade Stabilization Structures</w:t>
      </w:r>
      <w:r w:rsidRPr="00E94635">
        <w:t>:</w:t>
      </w:r>
      <w:r w:rsidRPr="00410FE1">
        <w:rPr>
          <w:rFonts w:ascii="Arial" w:eastAsia="Times New Roman" w:hAnsi="Arial" w:cs="Arial"/>
          <w:color w:val="auto"/>
          <w:sz w:val="25"/>
          <w:szCs w:val="25"/>
          <w:lang w:eastAsia="en-US"/>
        </w:rPr>
        <w:t xml:space="preserve"> </w:t>
      </w:r>
      <w:r w:rsidRPr="00410FE1">
        <w:t>A structure used to control the grade and head</w:t>
      </w:r>
      <w:r>
        <w:t xml:space="preserve"> </w:t>
      </w:r>
      <w:r w:rsidRPr="00410FE1">
        <w:t>cutting in natural or artificial channels.</w:t>
      </w:r>
      <w:r>
        <w:t xml:space="preserve"> </w:t>
      </w:r>
      <w:r w:rsidRPr="00410FE1">
        <w:t>To stabilize the grade and control erosion in</w:t>
      </w:r>
      <w:r>
        <w:t xml:space="preserve"> </w:t>
      </w:r>
      <w:r w:rsidRPr="00410FE1">
        <w:t>natural or artificial channels, to prevent the</w:t>
      </w:r>
      <w:r>
        <w:t xml:space="preserve"> </w:t>
      </w:r>
      <w:r w:rsidRPr="00410FE1">
        <w:t>formation or advance of gullies, and to</w:t>
      </w:r>
      <w:r>
        <w:t xml:space="preserve"> </w:t>
      </w:r>
      <w:r w:rsidRPr="00410FE1">
        <w:t>enhance environmental quality and reduce</w:t>
      </w:r>
      <w:r>
        <w:t xml:space="preserve"> </w:t>
      </w:r>
      <w:r w:rsidRPr="00410FE1">
        <w:t>pollution hazards.</w:t>
      </w:r>
    </w:p>
    <w:p w14:paraId="1CA0693D" w14:textId="77777777" w:rsidR="00D46B3D" w:rsidRDefault="00D46B3D" w:rsidP="00D46B3D">
      <w:pPr>
        <w:pStyle w:val="ListParagraph"/>
        <w:numPr>
          <w:ilvl w:val="0"/>
          <w:numId w:val="1"/>
        </w:numPr>
      </w:pPr>
      <w:r>
        <w:rPr>
          <w:b/>
          <w:bCs/>
          <w:i/>
          <w:iCs/>
        </w:rPr>
        <w:lastRenderedPageBreak/>
        <w:t xml:space="preserve">Cross </w:t>
      </w:r>
      <w:r w:rsidRPr="00EA749B">
        <w:rPr>
          <w:b/>
          <w:bCs/>
          <w:i/>
          <w:iCs/>
        </w:rPr>
        <w:t>Fencing</w:t>
      </w:r>
      <w:r>
        <w:t>:  Used to promote rotational grazing, and makes the task of maintaining healthy grass heights with prescribed grazing easier. Promotes infiltration and slows down runoff.</w:t>
      </w:r>
    </w:p>
    <w:p w14:paraId="1EB25E49" w14:textId="4DE6955E" w:rsidR="00843BFD" w:rsidRDefault="00843BFD" w:rsidP="00AA42CD">
      <w:pPr>
        <w:pStyle w:val="ListParagraph"/>
        <w:numPr>
          <w:ilvl w:val="0"/>
          <w:numId w:val="1"/>
        </w:numPr>
      </w:pPr>
      <w:r w:rsidRPr="00EA749B">
        <w:rPr>
          <w:b/>
          <w:bCs/>
          <w:i/>
          <w:iCs/>
        </w:rPr>
        <w:t>Shade Structures</w:t>
      </w:r>
      <w:r w:rsidR="007911D6">
        <w:t>:</w:t>
      </w:r>
      <w:r w:rsidR="0047727B">
        <w:t xml:space="preserve"> Can be used in conjunction with an alternative water source or as a lone standing structure that will provide shade to grazing animals. Shade structures are most effective when place</w:t>
      </w:r>
      <w:r w:rsidR="00D05D70">
        <w:t>d</w:t>
      </w:r>
      <w:r w:rsidR="0047727B">
        <w:t xml:space="preserve"> away from the bayou and offer shade to entice livestock away from the cool shaded r</w:t>
      </w:r>
      <w:r w:rsidR="00AA42CD">
        <w:t>iparian corridor along the bayou</w:t>
      </w:r>
      <w:r w:rsidR="0047727B">
        <w:t xml:space="preserve">. </w:t>
      </w:r>
    </w:p>
    <w:p w14:paraId="3BD7D276" w14:textId="1DC4EBFA" w:rsidR="00843BFD" w:rsidRDefault="00843BFD" w:rsidP="00843BFD">
      <w:pPr>
        <w:pStyle w:val="ListParagraph"/>
        <w:numPr>
          <w:ilvl w:val="0"/>
          <w:numId w:val="1"/>
        </w:numPr>
      </w:pPr>
      <w:r w:rsidRPr="00EA749B">
        <w:rPr>
          <w:b/>
          <w:bCs/>
          <w:i/>
          <w:iCs/>
        </w:rPr>
        <w:t>Riparian Herbaceous Buffers</w:t>
      </w:r>
      <w:r w:rsidR="007911D6">
        <w:t>:</w:t>
      </w:r>
      <w:r w:rsidR="0047727B">
        <w:t xml:space="preserve"> Improve water quality in the bayou by filtering surface runoff to reduce the sediment load and allow natural absorption proce</w:t>
      </w:r>
      <w:r w:rsidR="00672805">
        <w:t>ss time to remove</w:t>
      </w:r>
      <w:r w:rsidR="0047727B">
        <w:t xml:space="preserve"> the nutrient load from runoff. They can also inhibit fecal indicator bacteria from reaching the waterway. </w:t>
      </w:r>
      <w:r>
        <w:t>Could also provide more shading over the bayou to help prevent fish kills</w:t>
      </w:r>
      <w:r w:rsidR="0047727B">
        <w:t>.</w:t>
      </w:r>
    </w:p>
    <w:p w14:paraId="61B1DEB1" w14:textId="04217AFA" w:rsidR="00843BFD" w:rsidRDefault="00843BFD" w:rsidP="00E762BC">
      <w:pPr>
        <w:pStyle w:val="ListParagraph"/>
        <w:numPr>
          <w:ilvl w:val="0"/>
          <w:numId w:val="1"/>
        </w:numPr>
      </w:pPr>
      <w:r w:rsidRPr="00EA749B">
        <w:rPr>
          <w:b/>
          <w:bCs/>
          <w:i/>
          <w:iCs/>
        </w:rPr>
        <w:t>Buffer Zones</w:t>
      </w:r>
      <w:r w:rsidR="007911D6">
        <w:t>:</w:t>
      </w:r>
      <w:r w:rsidR="00A556CA" w:rsidRPr="00A556CA">
        <w:t xml:space="preserve"> Buffers between f</w:t>
      </w:r>
      <w:r w:rsidR="00A556CA">
        <w:t xml:space="preserve">looded fields and bayous, i.e. vegetative </w:t>
      </w:r>
      <w:r w:rsidR="00A556CA" w:rsidRPr="00A556CA">
        <w:t>filter strips and streamside buffers</w:t>
      </w:r>
      <w:r w:rsidR="00A556CA">
        <w:t xml:space="preserve"> to reduce nutrient and bacteria loading from wildlife and livestock. </w:t>
      </w:r>
      <w:r w:rsidR="00E762BC" w:rsidRPr="00E762BC">
        <w:t>In forested areas, this would be 50 feet on either side of the channel to be considered a buffer, which is a common minimum for riparian buffer zones.</w:t>
      </w:r>
    </w:p>
    <w:p w14:paraId="78ACB006" w14:textId="28366458" w:rsidR="00843BFD" w:rsidRDefault="00843BFD" w:rsidP="00AA42CD">
      <w:pPr>
        <w:pStyle w:val="ListParagraph"/>
        <w:numPr>
          <w:ilvl w:val="0"/>
          <w:numId w:val="1"/>
        </w:numPr>
      </w:pPr>
      <w:r w:rsidRPr="00EA749B">
        <w:rPr>
          <w:b/>
          <w:bCs/>
          <w:i/>
          <w:iCs/>
        </w:rPr>
        <w:t>Nutrient Management</w:t>
      </w:r>
      <w:r w:rsidR="007911D6">
        <w:t>:</w:t>
      </w:r>
      <w:r w:rsidR="0039105B">
        <w:t xml:space="preserve"> Can reduce</w:t>
      </w:r>
      <w:r w:rsidR="00A556CA">
        <w:t xml:space="preserve"> bacteria and nutrient loading to the bayou by providing a plan to apply the correct amount of fertilizers and manure at the optimal times. This BMP is best used in conjunction with the soil testing campaign described in </w:t>
      </w:r>
      <w:r w:rsidR="006C127E">
        <w:t>Section</w:t>
      </w:r>
      <w:r w:rsidR="00A556CA">
        <w:t xml:space="preserve"> 8</w:t>
      </w:r>
      <w:r w:rsidR="006C127E">
        <w:t>.2.5</w:t>
      </w:r>
      <w:r w:rsidR="00A556CA">
        <w:t xml:space="preserve">.  </w:t>
      </w:r>
    </w:p>
    <w:p w14:paraId="05F9CFB7" w14:textId="5F89B017" w:rsidR="00DD36D5" w:rsidRDefault="00EB3D36" w:rsidP="007F1F9F">
      <w:pPr>
        <w:pStyle w:val="Heading3"/>
        <w:numPr>
          <w:ilvl w:val="2"/>
          <w:numId w:val="31"/>
        </w:numPr>
      </w:pPr>
      <w:bookmarkStart w:id="15" w:name="_Toc421172299"/>
      <w:r>
        <w:t>Wildlife and Non-Domestic</w:t>
      </w:r>
      <w:r w:rsidR="00DD36D5" w:rsidRPr="00DD36D5">
        <w:t xml:space="preserve"> </w:t>
      </w:r>
      <w:r>
        <w:t>Plant/Animal</w:t>
      </w:r>
      <w:r w:rsidR="00DD36D5" w:rsidRPr="00DD36D5">
        <w:t xml:space="preserve"> </w:t>
      </w:r>
      <w:r w:rsidR="00DD36D5">
        <w:t>Management Measures</w:t>
      </w:r>
      <w:bookmarkEnd w:id="15"/>
    </w:p>
    <w:p w14:paraId="4D11EE25" w14:textId="1B55693D" w:rsidR="00EB3D36" w:rsidRDefault="00EB3D36" w:rsidP="00EB3D36">
      <w:r>
        <w:t>N</w:t>
      </w:r>
      <w:r w:rsidRPr="00EB3D36">
        <w:t xml:space="preserve">ative wildlife such as deer, raccoons, opossums, and bird species </w:t>
      </w:r>
      <w:r>
        <w:t xml:space="preserve">can be </w:t>
      </w:r>
      <w:r w:rsidRPr="00EB3D36">
        <w:t xml:space="preserve">contributing </w:t>
      </w:r>
      <w:r>
        <w:t xml:space="preserve">sources to bacterial </w:t>
      </w:r>
      <w:r w:rsidRPr="00EB3D36">
        <w:t>pollutants, this is considered background nonpoint source pollution</w:t>
      </w:r>
      <w:r>
        <w:t xml:space="preserve"> for Double Bayou</w:t>
      </w:r>
      <w:r w:rsidRPr="00EB3D36">
        <w:t xml:space="preserve">.  TPWD manages native wildlife </w:t>
      </w:r>
      <w:r>
        <w:t>in Texas;</w:t>
      </w:r>
      <w:r w:rsidRPr="00EB3D36">
        <w:t xml:space="preserve"> </w:t>
      </w:r>
      <w:r>
        <w:t>a</w:t>
      </w:r>
      <w:r w:rsidRPr="00EB3D36">
        <w:t xml:space="preserve">ctive management of native wildlife for water quality purposes is generally not promoted in the State of Texas and will not be included in the </w:t>
      </w:r>
      <w:r>
        <w:t>Double Bayou</w:t>
      </w:r>
      <w:r w:rsidRPr="00EB3D36">
        <w:t xml:space="preserve"> Watershed Protection Plan.</w:t>
      </w:r>
    </w:p>
    <w:p w14:paraId="21326B88" w14:textId="43E9EB17" w:rsidR="00EB3D36" w:rsidRDefault="00EB3D36" w:rsidP="00EB3D36">
      <w:r>
        <w:t xml:space="preserve">Deer ranked last among all scenarios run in SELECT for their potential to contribute to the nonpoint source pollution of the waterways. The small amount of bacteria contributions from deer and the fact that they are native to the bayous was enough for the stakeholders to suggest that they be counted as part of the background bacteria concentrations along with other wildlife such as raccoons, birds and small mammals. The stakeholders remarked that some of the WQMP practices such as vegetative buffers (i.e. filter strips and streamside buffers areas) between flooded fields and the bayou could help to reduce the amount of bacteria from native wildlife populations although the BMPs weren’t intended for that purpose. </w:t>
      </w:r>
    </w:p>
    <w:p w14:paraId="3C7EF8DF" w14:textId="77777777" w:rsidR="00EB3D36" w:rsidRDefault="00EB3D36" w:rsidP="00EB3D36">
      <w:r w:rsidRPr="00017A45">
        <w:t xml:space="preserve">GBEP has educational material on invasive species, which could be a </w:t>
      </w:r>
      <w:r>
        <w:t>potential resource for the Double Bayou Partnership</w:t>
      </w:r>
      <w:r w:rsidRPr="00017A45">
        <w:t xml:space="preserve">.  </w:t>
      </w:r>
      <w:r>
        <w:t xml:space="preserve">The manual removal of aquatic and terrestrial invasive species during physical removal days, similar to a trash bash event, could be coupled with the riparian area outreach and education measures (see Chapter 8 for discussions on riparian area outreach and education). Masses of non-native vegetation that has collected in the bayous could also be removed during this event. </w:t>
      </w:r>
      <w:r w:rsidRPr="006930D0">
        <w:t xml:space="preserve"> </w:t>
      </w:r>
    </w:p>
    <w:p w14:paraId="13804FB8" w14:textId="77777777" w:rsidR="00EB3D36" w:rsidRDefault="00EB3D36" w:rsidP="00EB3D36"/>
    <w:p w14:paraId="77BC5EC0" w14:textId="361CC23E" w:rsidR="00DE755B" w:rsidRDefault="0037442D" w:rsidP="00EC4D4F">
      <w:r>
        <w:lastRenderedPageBreak/>
        <w:t xml:space="preserve">PLACEDHOLDER, UPCOMING – to be calculated: </w:t>
      </w:r>
      <w:r w:rsidR="000D4F21">
        <w:t xml:space="preserve">The SELECT results highlighted feral hogs as the second highest potential </w:t>
      </w:r>
      <w:r w:rsidR="00630330">
        <w:t>source of bacteria</w:t>
      </w:r>
      <w:r w:rsidR="000D4F21">
        <w:t xml:space="preserve"> contributions</w:t>
      </w:r>
      <w:r w:rsidR="00630330">
        <w:t xml:space="preserve"> to the bayous.</w:t>
      </w:r>
      <w:r w:rsidR="0062523A">
        <w:t xml:space="preserve"> The stakeholders agreed that feral hogs</w:t>
      </w:r>
      <w:r w:rsidR="00D476CE">
        <w:t xml:space="preserve"> and</w:t>
      </w:r>
      <w:r w:rsidR="0062523A">
        <w:t xml:space="preserve"> their bacteria contributions should be given a high priority</w:t>
      </w:r>
      <w:r w:rsidR="00DE755B">
        <w:t>.</w:t>
      </w:r>
      <w:r>
        <w:t xml:space="preserve"> To determine the estimated number of feral hogs that should be removed, the number of hogs for each subwatershed was multiplied by the bacteria load reduction XX%</w:t>
      </w:r>
      <w:r w:rsidR="00367040">
        <w:t xml:space="preserve"> (</w:t>
      </w:r>
      <w:r w:rsidR="00367040">
        <w:fldChar w:fldCharType="begin"/>
      </w:r>
      <w:r w:rsidR="00367040">
        <w:instrText xml:space="preserve"> REF _Ref426969950 \h </w:instrText>
      </w:r>
      <w:r w:rsidR="00367040">
        <w:fldChar w:fldCharType="separate"/>
      </w:r>
      <w:r w:rsidR="00367040">
        <w:t>Table 6-</w:t>
      </w:r>
      <w:r w:rsidR="00367040">
        <w:rPr>
          <w:noProof/>
        </w:rPr>
        <w:t>3</w:t>
      </w:r>
      <w:r w:rsidR="00367040">
        <w:t xml:space="preserve"> Recommended number of feral hogs to be removed by subwatershed</w:t>
      </w:r>
      <w:r w:rsidR="00367040">
        <w:fldChar w:fldCharType="end"/>
      </w:r>
      <w:r w:rsidR="00367040">
        <w:t>)</w:t>
      </w:r>
      <w:r>
        <w:t xml:space="preserve">.  </w:t>
      </w:r>
    </w:p>
    <w:tbl>
      <w:tblPr>
        <w:tblW w:w="5927" w:type="dxa"/>
        <w:jc w:val="center"/>
        <w:tblLook w:val="04A0" w:firstRow="1" w:lastRow="0" w:firstColumn="1" w:lastColumn="0" w:noHBand="0" w:noVBand="1"/>
      </w:tblPr>
      <w:tblGrid>
        <w:gridCol w:w="1840"/>
        <w:gridCol w:w="1960"/>
        <w:gridCol w:w="2127"/>
      </w:tblGrid>
      <w:tr w:rsidR="00DA1DE7" w:rsidRPr="009E45C7" w14:paraId="224D22F3" w14:textId="77777777" w:rsidTr="00DA1DE7">
        <w:trPr>
          <w:trHeight w:val="930"/>
          <w:jc w:val="center"/>
        </w:trPr>
        <w:tc>
          <w:tcPr>
            <w:tcW w:w="1840" w:type="dxa"/>
            <w:tcBorders>
              <w:top w:val="single" w:sz="4" w:space="0" w:color="auto"/>
              <w:left w:val="single" w:sz="4" w:space="0" w:color="auto"/>
              <w:bottom w:val="nil"/>
              <w:right w:val="single" w:sz="4" w:space="0" w:color="auto"/>
            </w:tcBorders>
            <w:shd w:val="clear" w:color="000000" w:fill="BFBFBF"/>
            <w:vAlign w:val="center"/>
            <w:hideMark/>
          </w:tcPr>
          <w:p w14:paraId="029E7EF7" w14:textId="77777777" w:rsidR="00DA1DE7" w:rsidRPr="009E45C7" w:rsidRDefault="00DA1DE7" w:rsidP="00D25006">
            <w:pPr>
              <w:spacing w:after="0" w:line="240" w:lineRule="auto"/>
              <w:jc w:val="center"/>
              <w:rPr>
                <w:rFonts w:asciiTheme="majorBidi" w:eastAsia="Times New Roman" w:hAnsiTheme="majorBidi" w:cstheme="majorBidi"/>
                <w:b/>
                <w:bCs/>
                <w:color w:val="000000"/>
                <w:szCs w:val="24"/>
              </w:rPr>
            </w:pPr>
            <w:r w:rsidRPr="009E45C7">
              <w:rPr>
                <w:rFonts w:asciiTheme="majorBidi" w:eastAsia="Times New Roman" w:hAnsiTheme="majorBidi" w:cstheme="majorBidi"/>
                <w:b/>
                <w:bCs/>
                <w:color w:val="000000"/>
                <w:szCs w:val="24"/>
              </w:rPr>
              <w:t>Subwatershed</w:t>
            </w:r>
          </w:p>
        </w:tc>
        <w:tc>
          <w:tcPr>
            <w:tcW w:w="1960" w:type="dxa"/>
            <w:tcBorders>
              <w:top w:val="single" w:sz="4" w:space="0" w:color="auto"/>
              <w:left w:val="nil"/>
              <w:bottom w:val="nil"/>
              <w:right w:val="single" w:sz="4" w:space="0" w:color="auto"/>
            </w:tcBorders>
            <w:shd w:val="clear" w:color="000000" w:fill="BFBFBF"/>
            <w:vAlign w:val="center"/>
            <w:hideMark/>
          </w:tcPr>
          <w:p w14:paraId="15796D53" w14:textId="6FEF056C" w:rsidR="00DA1DE7" w:rsidRPr="009E45C7" w:rsidRDefault="00DA1DE7" w:rsidP="00D25006">
            <w:pPr>
              <w:spacing w:after="0" w:line="240" w:lineRule="auto"/>
              <w:jc w:val="center"/>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Total Hogs</w:t>
            </w:r>
          </w:p>
        </w:tc>
        <w:tc>
          <w:tcPr>
            <w:tcW w:w="2127" w:type="dxa"/>
            <w:tcBorders>
              <w:top w:val="single" w:sz="4" w:space="0" w:color="auto"/>
              <w:left w:val="nil"/>
              <w:bottom w:val="nil"/>
              <w:right w:val="single" w:sz="4" w:space="0" w:color="auto"/>
            </w:tcBorders>
            <w:shd w:val="clear" w:color="000000" w:fill="BFBFBF"/>
            <w:vAlign w:val="center"/>
            <w:hideMark/>
          </w:tcPr>
          <w:p w14:paraId="04E362AC" w14:textId="6E0A07FE" w:rsidR="00DA1DE7" w:rsidRPr="009E45C7" w:rsidRDefault="00DA1DE7" w:rsidP="00D25006">
            <w:pPr>
              <w:spacing w:after="0" w:line="240" w:lineRule="auto"/>
              <w:jc w:val="center"/>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Hogs to be removed</w:t>
            </w:r>
          </w:p>
        </w:tc>
      </w:tr>
      <w:tr w:rsidR="0037442D" w:rsidRPr="009E45C7" w14:paraId="50785D09" w14:textId="77777777" w:rsidTr="00DA1DE7">
        <w:trPr>
          <w:trHeight w:val="300"/>
          <w:jc w:val="center"/>
        </w:trPr>
        <w:tc>
          <w:tcPr>
            <w:tcW w:w="1840" w:type="dxa"/>
            <w:tcBorders>
              <w:top w:val="single" w:sz="4" w:space="0" w:color="auto"/>
              <w:left w:val="single" w:sz="4" w:space="0" w:color="auto"/>
              <w:bottom w:val="nil"/>
              <w:right w:val="nil"/>
            </w:tcBorders>
            <w:shd w:val="clear" w:color="000000" w:fill="F2F2F2"/>
            <w:noWrap/>
            <w:vAlign w:val="center"/>
            <w:hideMark/>
          </w:tcPr>
          <w:p w14:paraId="04427C2E"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w:t>
            </w:r>
          </w:p>
        </w:tc>
        <w:tc>
          <w:tcPr>
            <w:tcW w:w="1960" w:type="dxa"/>
            <w:tcBorders>
              <w:top w:val="single" w:sz="4" w:space="0" w:color="auto"/>
              <w:left w:val="single" w:sz="4" w:space="0" w:color="auto"/>
              <w:bottom w:val="nil"/>
              <w:right w:val="nil"/>
            </w:tcBorders>
            <w:shd w:val="clear" w:color="000000" w:fill="F2F2F2"/>
            <w:noWrap/>
          </w:tcPr>
          <w:p w14:paraId="05A29129" w14:textId="4683EF16"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107</w:t>
            </w:r>
          </w:p>
        </w:tc>
        <w:tc>
          <w:tcPr>
            <w:tcW w:w="2127" w:type="dxa"/>
            <w:tcBorders>
              <w:top w:val="single" w:sz="4" w:space="0" w:color="auto"/>
              <w:left w:val="nil"/>
              <w:bottom w:val="nil"/>
              <w:right w:val="single" w:sz="4" w:space="0" w:color="auto"/>
            </w:tcBorders>
            <w:shd w:val="clear" w:color="000000" w:fill="F2F2F2"/>
            <w:noWrap/>
            <w:vAlign w:val="bottom"/>
            <w:hideMark/>
          </w:tcPr>
          <w:p w14:paraId="5BB1D655" w14:textId="68A3B2D8"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6C6365D5" w14:textId="77777777" w:rsidTr="00DA1DE7">
        <w:trPr>
          <w:trHeight w:val="300"/>
          <w:jc w:val="center"/>
        </w:trPr>
        <w:tc>
          <w:tcPr>
            <w:tcW w:w="1840" w:type="dxa"/>
            <w:tcBorders>
              <w:top w:val="nil"/>
              <w:left w:val="single" w:sz="4" w:space="0" w:color="auto"/>
              <w:bottom w:val="nil"/>
              <w:right w:val="nil"/>
            </w:tcBorders>
            <w:shd w:val="clear" w:color="000000" w:fill="FFFFFF"/>
            <w:noWrap/>
            <w:vAlign w:val="center"/>
            <w:hideMark/>
          </w:tcPr>
          <w:p w14:paraId="3495FA29" w14:textId="69C376F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2</w:t>
            </w:r>
          </w:p>
        </w:tc>
        <w:tc>
          <w:tcPr>
            <w:tcW w:w="1960" w:type="dxa"/>
            <w:tcBorders>
              <w:top w:val="nil"/>
              <w:left w:val="single" w:sz="4" w:space="0" w:color="auto"/>
              <w:bottom w:val="nil"/>
              <w:right w:val="nil"/>
            </w:tcBorders>
            <w:shd w:val="clear" w:color="000000" w:fill="FFFFFF"/>
            <w:noWrap/>
          </w:tcPr>
          <w:p w14:paraId="78AAD334" w14:textId="4E7803D8"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4</w:t>
            </w:r>
          </w:p>
        </w:tc>
        <w:tc>
          <w:tcPr>
            <w:tcW w:w="2127" w:type="dxa"/>
            <w:tcBorders>
              <w:top w:val="nil"/>
              <w:left w:val="nil"/>
              <w:bottom w:val="nil"/>
              <w:right w:val="single" w:sz="4" w:space="0" w:color="auto"/>
            </w:tcBorders>
            <w:shd w:val="clear" w:color="000000" w:fill="FFFFFF"/>
            <w:noWrap/>
            <w:vAlign w:val="bottom"/>
            <w:hideMark/>
          </w:tcPr>
          <w:p w14:paraId="4F64E2F3" w14:textId="048FA24D"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694D5A58" w14:textId="77777777" w:rsidTr="00DA1DE7">
        <w:trPr>
          <w:trHeight w:val="300"/>
          <w:jc w:val="center"/>
        </w:trPr>
        <w:tc>
          <w:tcPr>
            <w:tcW w:w="1840" w:type="dxa"/>
            <w:tcBorders>
              <w:top w:val="nil"/>
              <w:left w:val="single" w:sz="4" w:space="0" w:color="auto"/>
              <w:bottom w:val="nil"/>
              <w:right w:val="nil"/>
            </w:tcBorders>
            <w:shd w:val="clear" w:color="000000" w:fill="F2F2F2"/>
            <w:noWrap/>
            <w:vAlign w:val="center"/>
            <w:hideMark/>
          </w:tcPr>
          <w:p w14:paraId="3C468940"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3</w:t>
            </w:r>
          </w:p>
        </w:tc>
        <w:tc>
          <w:tcPr>
            <w:tcW w:w="1960" w:type="dxa"/>
            <w:tcBorders>
              <w:top w:val="nil"/>
              <w:left w:val="single" w:sz="4" w:space="0" w:color="auto"/>
              <w:bottom w:val="nil"/>
              <w:right w:val="nil"/>
            </w:tcBorders>
            <w:shd w:val="clear" w:color="000000" w:fill="F2F2F2"/>
            <w:noWrap/>
          </w:tcPr>
          <w:p w14:paraId="790C333D" w14:textId="6D38620A"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105</w:t>
            </w:r>
          </w:p>
        </w:tc>
        <w:tc>
          <w:tcPr>
            <w:tcW w:w="2127" w:type="dxa"/>
            <w:tcBorders>
              <w:top w:val="nil"/>
              <w:left w:val="nil"/>
              <w:bottom w:val="nil"/>
              <w:right w:val="single" w:sz="4" w:space="0" w:color="auto"/>
            </w:tcBorders>
            <w:shd w:val="clear" w:color="000000" w:fill="F2F2F2"/>
            <w:noWrap/>
            <w:vAlign w:val="bottom"/>
            <w:hideMark/>
          </w:tcPr>
          <w:p w14:paraId="540F4816" w14:textId="0B5FD12D"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55911492" w14:textId="77777777" w:rsidTr="00DA1DE7">
        <w:trPr>
          <w:trHeight w:val="300"/>
          <w:jc w:val="center"/>
        </w:trPr>
        <w:tc>
          <w:tcPr>
            <w:tcW w:w="1840" w:type="dxa"/>
            <w:tcBorders>
              <w:top w:val="nil"/>
              <w:left w:val="single" w:sz="4" w:space="0" w:color="auto"/>
              <w:bottom w:val="nil"/>
              <w:right w:val="nil"/>
            </w:tcBorders>
            <w:shd w:val="clear" w:color="000000" w:fill="FFFFFF"/>
            <w:noWrap/>
            <w:vAlign w:val="center"/>
            <w:hideMark/>
          </w:tcPr>
          <w:p w14:paraId="578FC074"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4</w:t>
            </w:r>
          </w:p>
        </w:tc>
        <w:tc>
          <w:tcPr>
            <w:tcW w:w="1960" w:type="dxa"/>
            <w:tcBorders>
              <w:top w:val="nil"/>
              <w:left w:val="single" w:sz="4" w:space="0" w:color="auto"/>
              <w:bottom w:val="nil"/>
              <w:right w:val="nil"/>
            </w:tcBorders>
            <w:shd w:val="clear" w:color="000000" w:fill="FFFFFF"/>
            <w:noWrap/>
          </w:tcPr>
          <w:p w14:paraId="40D6FDDA" w14:textId="2715FB0B"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63</w:t>
            </w:r>
          </w:p>
        </w:tc>
        <w:tc>
          <w:tcPr>
            <w:tcW w:w="2127" w:type="dxa"/>
            <w:tcBorders>
              <w:top w:val="nil"/>
              <w:left w:val="nil"/>
              <w:bottom w:val="nil"/>
              <w:right w:val="single" w:sz="4" w:space="0" w:color="auto"/>
            </w:tcBorders>
            <w:shd w:val="clear" w:color="000000" w:fill="FFFFFF"/>
            <w:noWrap/>
            <w:vAlign w:val="bottom"/>
            <w:hideMark/>
          </w:tcPr>
          <w:p w14:paraId="22CE0B37" w14:textId="6C8AED57"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7A307639" w14:textId="77777777" w:rsidTr="00DA1DE7">
        <w:trPr>
          <w:trHeight w:val="300"/>
          <w:jc w:val="center"/>
        </w:trPr>
        <w:tc>
          <w:tcPr>
            <w:tcW w:w="1840" w:type="dxa"/>
            <w:tcBorders>
              <w:top w:val="nil"/>
              <w:left w:val="single" w:sz="4" w:space="0" w:color="auto"/>
              <w:bottom w:val="nil"/>
              <w:right w:val="nil"/>
            </w:tcBorders>
            <w:shd w:val="clear" w:color="000000" w:fill="F2F2F2"/>
            <w:noWrap/>
            <w:vAlign w:val="center"/>
            <w:hideMark/>
          </w:tcPr>
          <w:p w14:paraId="39CF0BD7"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5</w:t>
            </w:r>
          </w:p>
        </w:tc>
        <w:tc>
          <w:tcPr>
            <w:tcW w:w="1960" w:type="dxa"/>
            <w:tcBorders>
              <w:top w:val="nil"/>
              <w:left w:val="single" w:sz="4" w:space="0" w:color="auto"/>
              <w:bottom w:val="nil"/>
              <w:right w:val="nil"/>
            </w:tcBorders>
            <w:shd w:val="clear" w:color="000000" w:fill="F2F2F2"/>
            <w:noWrap/>
          </w:tcPr>
          <w:p w14:paraId="57061909" w14:textId="114C8D92"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157</w:t>
            </w:r>
          </w:p>
        </w:tc>
        <w:tc>
          <w:tcPr>
            <w:tcW w:w="2127" w:type="dxa"/>
            <w:tcBorders>
              <w:top w:val="nil"/>
              <w:left w:val="nil"/>
              <w:bottom w:val="nil"/>
              <w:right w:val="single" w:sz="4" w:space="0" w:color="auto"/>
            </w:tcBorders>
            <w:shd w:val="clear" w:color="000000" w:fill="F2F2F2"/>
            <w:noWrap/>
            <w:vAlign w:val="bottom"/>
            <w:hideMark/>
          </w:tcPr>
          <w:p w14:paraId="085D3114" w14:textId="6EA529B4"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43C6DEFD" w14:textId="77777777" w:rsidTr="00DA1DE7">
        <w:trPr>
          <w:trHeight w:val="300"/>
          <w:jc w:val="center"/>
        </w:trPr>
        <w:tc>
          <w:tcPr>
            <w:tcW w:w="1840" w:type="dxa"/>
            <w:tcBorders>
              <w:top w:val="nil"/>
              <w:left w:val="single" w:sz="4" w:space="0" w:color="auto"/>
              <w:bottom w:val="nil"/>
              <w:right w:val="nil"/>
            </w:tcBorders>
            <w:shd w:val="clear" w:color="000000" w:fill="FFFFFF"/>
            <w:noWrap/>
            <w:vAlign w:val="center"/>
            <w:hideMark/>
          </w:tcPr>
          <w:p w14:paraId="30345E1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6</w:t>
            </w:r>
          </w:p>
        </w:tc>
        <w:tc>
          <w:tcPr>
            <w:tcW w:w="1960" w:type="dxa"/>
            <w:tcBorders>
              <w:top w:val="nil"/>
              <w:left w:val="single" w:sz="4" w:space="0" w:color="auto"/>
              <w:bottom w:val="nil"/>
              <w:right w:val="nil"/>
            </w:tcBorders>
            <w:shd w:val="clear" w:color="000000" w:fill="FFFFFF"/>
            <w:noWrap/>
          </w:tcPr>
          <w:p w14:paraId="640B9703" w14:textId="40DFD2D6"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38</w:t>
            </w:r>
          </w:p>
        </w:tc>
        <w:tc>
          <w:tcPr>
            <w:tcW w:w="2127" w:type="dxa"/>
            <w:tcBorders>
              <w:top w:val="nil"/>
              <w:left w:val="nil"/>
              <w:bottom w:val="nil"/>
              <w:right w:val="single" w:sz="4" w:space="0" w:color="auto"/>
            </w:tcBorders>
            <w:shd w:val="clear" w:color="000000" w:fill="FFFFFF"/>
            <w:noWrap/>
            <w:vAlign w:val="bottom"/>
            <w:hideMark/>
          </w:tcPr>
          <w:p w14:paraId="308D9CD8" w14:textId="48B4970A"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547CC7C9" w14:textId="77777777" w:rsidTr="00DA1DE7">
        <w:trPr>
          <w:trHeight w:val="300"/>
          <w:jc w:val="center"/>
        </w:trPr>
        <w:tc>
          <w:tcPr>
            <w:tcW w:w="1840" w:type="dxa"/>
            <w:tcBorders>
              <w:top w:val="nil"/>
              <w:left w:val="single" w:sz="4" w:space="0" w:color="auto"/>
              <w:bottom w:val="nil"/>
              <w:right w:val="nil"/>
            </w:tcBorders>
            <w:shd w:val="clear" w:color="000000" w:fill="F2F2F2"/>
            <w:noWrap/>
            <w:vAlign w:val="center"/>
            <w:hideMark/>
          </w:tcPr>
          <w:p w14:paraId="3F65658E"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7</w:t>
            </w:r>
          </w:p>
        </w:tc>
        <w:tc>
          <w:tcPr>
            <w:tcW w:w="1960" w:type="dxa"/>
            <w:tcBorders>
              <w:top w:val="nil"/>
              <w:left w:val="single" w:sz="4" w:space="0" w:color="auto"/>
              <w:bottom w:val="nil"/>
              <w:right w:val="nil"/>
            </w:tcBorders>
            <w:shd w:val="clear" w:color="000000" w:fill="F2F2F2"/>
            <w:noWrap/>
          </w:tcPr>
          <w:p w14:paraId="2FF5C3AA" w14:textId="65A82971"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77</w:t>
            </w:r>
          </w:p>
        </w:tc>
        <w:tc>
          <w:tcPr>
            <w:tcW w:w="2127" w:type="dxa"/>
            <w:tcBorders>
              <w:top w:val="nil"/>
              <w:left w:val="nil"/>
              <w:bottom w:val="nil"/>
              <w:right w:val="single" w:sz="4" w:space="0" w:color="auto"/>
            </w:tcBorders>
            <w:shd w:val="clear" w:color="000000" w:fill="F2F2F2"/>
            <w:noWrap/>
            <w:vAlign w:val="bottom"/>
            <w:hideMark/>
          </w:tcPr>
          <w:p w14:paraId="3E54C0FF" w14:textId="220A808E"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0F7A8316" w14:textId="77777777" w:rsidTr="00DA1DE7">
        <w:trPr>
          <w:trHeight w:val="300"/>
          <w:jc w:val="center"/>
        </w:trPr>
        <w:tc>
          <w:tcPr>
            <w:tcW w:w="1840" w:type="dxa"/>
            <w:tcBorders>
              <w:top w:val="nil"/>
              <w:left w:val="single" w:sz="4" w:space="0" w:color="auto"/>
              <w:bottom w:val="nil"/>
              <w:right w:val="nil"/>
            </w:tcBorders>
            <w:shd w:val="clear" w:color="000000" w:fill="FFFFFF"/>
            <w:noWrap/>
            <w:vAlign w:val="center"/>
            <w:hideMark/>
          </w:tcPr>
          <w:p w14:paraId="52094FF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8</w:t>
            </w:r>
          </w:p>
        </w:tc>
        <w:tc>
          <w:tcPr>
            <w:tcW w:w="1960" w:type="dxa"/>
            <w:tcBorders>
              <w:top w:val="nil"/>
              <w:left w:val="single" w:sz="4" w:space="0" w:color="auto"/>
              <w:bottom w:val="nil"/>
              <w:right w:val="nil"/>
            </w:tcBorders>
            <w:shd w:val="clear" w:color="000000" w:fill="FFFFFF"/>
            <w:noWrap/>
          </w:tcPr>
          <w:p w14:paraId="4A4ECBA5" w14:textId="7F4ABBBF"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32</w:t>
            </w:r>
          </w:p>
        </w:tc>
        <w:tc>
          <w:tcPr>
            <w:tcW w:w="2127" w:type="dxa"/>
            <w:tcBorders>
              <w:top w:val="nil"/>
              <w:left w:val="nil"/>
              <w:bottom w:val="nil"/>
              <w:right w:val="single" w:sz="4" w:space="0" w:color="auto"/>
            </w:tcBorders>
            <w:shd w:val="clear" w:color="000000" w:fill="FFFFFF"/>
            <w:noWrap/>
            <w:vAlign w:val="bottom"/>
            <w:hideMark/>
          </w:tcPr>
          <w:p w14:paraId="01FE2FC0" w14:textId="7EB52BF8"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2DFEAA5D" w14:textId="77777777" w:rsidTr="00DA1DE7">
        <w:trPr>
          <w:trHeight w:val="300"/>
          <w:jc w:val="center"/>
        </w:trPr>
        <w:tc>
          <w:tcPr>
            <w:tcW w:w="1840" w:type="dxa"/>
            <w:tcBorders>
              <w:top w:val="nil"/>
              <w:left w:val="single" w:sz="4" w:space="0" w:color="auto"/>
              <w:bottom w:val="nil"/>
              <w:right w:val="nil"/>
            </w:tcBorders>
            <w:shd w:val="clear" w:color="000000" w:fill="F2F2F2"/>
            <w:noWrap/>
            <w:vAlign w:val="center"/>
            <w:hideMark/>
          </w:tcPr>
          <w:p w14:paraId="6A03AE85"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9</w:t>
            </w:r>
          </w:p>
        </w:tc>
        <w:tc>
          <w:tcPr>
            <w:tcW w:w="1960" w:type="dxa"/>
            <w:tcBorders>
              <w:top w:val="nil"/>
              <w:left w:val="single" w:sz="4" w:space="0" w:color="auto"/>
              <w:bottom w:val="nil"/>
              <w:right w:val="nil"/>
            </w:tcBorders>
            <w:shd w:val="clear" w:color="000000" w:fill="F2F2F2"/>
            <w:noWrap/>
          </w:tcPr>
          <w:p w14:paraId="2A4B18C2" w14:textId="71119D92"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88</w:t>
            </w:r>
          </w:p>
        </w:tc>
        <w:tc>
          <w:tcPr>
            <w:tcW w:w="2127" w:type="dxa"/>
            <w:tcBorders>
              <w:top w:val="nil"/>
              <w:left w:val="nil"/>
              <w:bottom w:val="nil"/>
              <w:right w:val="single" w:sz="4" w:space="0" w:color="auto"/>
            </w:tcBorders>
            <w:shd w:val="clear" w:color="000000" w:fill="F2F2F2"/>
            <w:noWrap/>
            <w:vAlign w:val="bottom"/>
            <w:hideMark/>
          </w:tcPr>
          <w:p w14:paraId="3BD67977" w14:textId="405A5CA1"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4A6105CF" w14:textId="77777777" w:rsidTr="00DA1DE7">
        <w:trPr>
          <w:trHeight w:val="300"/>
          <w:jc w:val="center"/>
        </w:trPr>
        <w:tc>
          <w:tcPr>
            <w:tcW w:w="1840" w:type="dxa"/>
            <w:tcBorders>
              <w:top w:val="nil"/>
              <w:left w:val="single" w:sz="4" w:space="0" w:color="auto"/>
              <w:bottom w:val="nil"/>
              <w:right w:val="nil"/>
            </w:tcBorders>
            <w:shd w:val="clear" w:color="000000" w:fill="FFFFFF"/>
            <w:noWrap/>
            <w:vAlign w:val="center"/>
            <w:hideMark/>
          </w:tcPr>
          <w:p w14:paraId="1DDA8D5A"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10</w:t>
            </w:r>
          </w:p>
        </w:tc>
        <w:tc>
          <w:tcPr>
            <w:tcW w:w="1960" w:type="dxa"/>
            <w:tcBorders>
              <w:top w:val="nil"/>
              <w:left w:val="single" w:sz="4" w:space="0" w:color="auto"/>
              <w:bottom w:val="nil"/>
              <w:right w:val="nil"/>
            </w:tcBorders>
            <w:shd w:val="clear" w:color="000000" w:fill="FFFFFF"/>
            <w:noWrap/>
          </w:tcPr>
          <w:p w14:paraId="646D67D2" w14:textId="4BD6EEBD"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56</w:t>
            </w:r>
          </w:p>
        </w:tc>
        <w:tc>
          <w:tcPr>
            <w:tcW w:w="2127" w:type="dxa"/>
            <w:tcBorders>
              <w:top w:val="nil"/>
              <w:left w:val="nil"/>
              <w:bottom w:val="nil"/>
              <w:right w:val="single" w:sz="4" w:space="0" w:color="auto"/>
            </w:tcBorders>
            <w:shd w:val="clear" w:color="000000" w:fill="FFFFFF"/>
            <w:noWrap/>
            <w:vAlign w:val="bottom"/>
            <w:hideMark/>
          </w:tcPr>
          <w:p w14:paraId="09422A64" w14:textId="56880A6B"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155AE0E3" w14:textId="77777777" w:rsidTr="00DA1DE7">
        <w:trPr>
          <w:trHeight w:val="300"/>
          <w:jc w:val="center"/>
        </w:trPr>
        <w:tc>
          <w:tcPr>
            <w:tcW w:w="1840" w:type="dxa"/>
            <w:tcBorders>
              <w:top w:val="nil"/>
              <w:left w:val="single" w:sz="4" w:space="0" w:color="auto"/>
              <w:bottom w:val="nil"/>
              <w:right w:val="nil"/>
            </w:tcBorders>
            <w:shd w:val="clear" w:color="000000" w:fill="F2F2F2"/>
            <w:noWrap/>
            <w:vAlign w:val="center"/>
            <w:hideMark/>
          </w:tcPr>
          <w:p w14:paraId="0728BAFB"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11</w:t>
            </w:r>
          </w:p>
        </w:tc>
        <w:tc>
          <w:tcPr>
            <w:tcW w:w="1960" w:type="dxa"/>
            <w:tcBorders>
              <w:top w:val="nil"/>
              <w:left w:val="single" w:sz="4" w:space="0" w:color="auto"/>
              <w:bottom w:val="nil"/>
              <w:right w:val="nil"/>
            </w:tcBorders>
            <w:shd w:val="clear" w:color="000000" w:fill="F2F2F2"/>
            <w:noWrap/>
          </w:tcPr>
          <w:p w14:paraId="4099EE6C" w14:textId="0F919684"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60</w:t>
            </w:r>
          </w:p>
        </w:tc>
        <w:tc>
          <w:tcPr>
            <w:tcW w:w="2127" w:type="dxa"/>
            <w:tcBorders>
              <w:top w:val="nil"/>
              <w:left w:val="nil"/>
              <w:bottom w:val="nil"/>
              <w:right w:val="single" w:sz="4" w:space="0" w:color="auto"/>
            </w:tcBorders>
            <w:shd w:val="clear" w:color="000000" w:fill="F2F2F2"/>
            <w:noWrap/>
            <w:vAlign w:val="bottom"/>
            <w:hideMark/>
          </w:tcPr>
          <w:p w14:paraId="35443966" w14:textId="159D5DB2"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2B975CDC" w14:textId="77777777" w:rsidTr="00DA1DE7">
        <w:trPr>
          <w:trHeight w:val="300"/>
          <w:jc w:val="center"/>
        </w:trPr>
        <w:tc>
          <w:tcPr>
            <w:tcW w:w="1840" w:type="dxa"/>
            <w:tcBorders>
              <w:top w:val="nil"/>
              <w:left w:val="single" w:sz="4" w:space="0" w:color="auto"/>
              <w:bottom w:val="nil"/>
              <w:right w:val="nil"/>
            </w:tcBorders>
            <w:shd w:val="clear" w:color="000000" w:fill="FFFFFF"/>
            <w:noWrap/>
            <w:vAlign w:val="center"/>
            <w:hideMark/>
          </w:tcPr>
          <w:p w14:paraId="5A722E58"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12</w:t>
            </w:r>
          </w:p>
        </w:tc>
        <w:tc>
          <w:tcPr>
            <w:tcW w:w="1960" w:type="dxa"/>
            <w:tcBorders>
              <w:top w:val="nil"/>
              <w:left w:val="single" w:sz="4" w:space="0" w:color="auto"/>
              <w:bottom w:val="nil"/>
              <w:right w:val="nil"/>
            </w:tcBorders>
            <w:shd w:val="clear" w:color="000000" w:fill="FFFFFF"/>
            <w:noWrap/>
          </w:tcPr>
          <w:p w14:paraId="6968C38D" w14:textId="5F47EEDD"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82</w:t>
            </w:r>
          </w:p>
        </w:tc>
        <w:tc>
          <w:tcPr>
            <w:tcW w:w="2127" w:type="dxa"/>
            <w:tcBorders>
              <w:top w:val="nil"/>
              <w:left w:val="nil"/>
              <w:bottom w:val="nil"/>
              <w:right w:val="single" w:sz="4" w:space="0" w:color="auto"/>
            </w:tcBorders>
            <w:shd w:val="clear" w:color="000000" w:fill="FFFFFF"/>
            <w:noWrap/>
            <w:vAlign w:val="bottom"/>
            <w:hideMark/>
          </w:tcPr>
          <w:p w14:paraId="1EE0A7F0" w14:textId="5B722941"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65443267" w14:textId="77777777" w:rsidTr="00DA1DE7">
        <w:trPr>
          <w:trHeight w:val="300"/>
          <w:jc w:val="center"/>
        </w:trPr>
        <w:tc>
          <w:tcPr>
            <w:tcW w:w="1840" w:type="dxa"/>
            <w:tcBorders>
              <w:top w:val="nil"/>
              <w:left w:val="single" w:sz="4" w:space="0" w:color="auto"/>
              <w:bottom w:val="nil"/>
              <w:right w:val="nil"/>
            </w:tcBorders>
            <w:shd w:val="clear" w:color="000000" w:fill="F2F2F2"/>
            <w:noWrap/>
            <w:vAlign w:val="center"/>
            <w:hideMark/>
          </w:tcPr>
          <w:p w14:paraId="68D22003"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13</w:t>
            </w:r>
          </w:p>
        </w:tc>
        <w:tc>
          <w:tcPr>
            <w:tcW w:w="1960" w:type="dxa"/>
            <w:tcBorders>
              <w:top w:val="nil"/>
              <w:left w:val="single" w:sz="4" w:space="0" w:color="auto"/>
              <w:bottom w:val="nil"/>
              <w:right w:val="nil"/>
            </w:tcBorders>
            <w:shd w:val="clear" w:color="000000" w:fill="F2F2F2"/>
            <w:noWrap/>
          </w:tcPr>
          <w:p w14:paraId="602306DA" w14:textId="65A374DE"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16</w:t>
            </w:r>
          </w:p>
        </w:tc>
        <w:tc>
          <w:tcPr>
            <w:tcW w:w="2127" w:type="dxa"/>
            <w:tcBorders>
              <w:top w:val="nil"/>
              <w:left w:val="nil"/>
              <w:bottom w:val="nil"/>
              <w:right w:val="single" w:sz="4" w:space="0" w:color="auto"/>
            </w:tcBorders>
            <w:shd w:val="clear" w:color="000000" w:fill="F2F2F2"/>
            <w:noWrap/>
            <w:vAlign w:val="bottom"/>
            <w:hideMark/>
          </w:tcPr>
          <w:p w14:paraId="10E967EA" w14:textId="7C3EF64C"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7A372C26" w14:textId="77777777" w:rsidTr="00DA1DE7">
        <w:trPr>
          <w:trHeight w:val="300"/>
          <w:jc w:val="center"/>
        </w:trPr>
        <w:tc>
          <w:tcPr>
            <w:tcW w:w="1840" w:type="dxa"/>
            <w:tcBorders>
              <w:top w:val="nil"/>
              <w:left w:val="single" w:sz="4" w:space="0" w:color="auto"/>
              <w:bottom w:val="nil"/>
              <w:right w:val="nil"/>
            </w:tcBorders>
            <w:shd w:val="clear" w:color="000000" w:fill="FFFFFF"/>
            <w:noWrap/>
            <w:vAlign w:val="center"/>
            <w:hideMark/>
          </w:tcPr>
          <w:p w14:paraId="044E94AE"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14</w:t>
            </w:r>
          </w:p>
        </w:tc>
        <w:tc>
          <w:tcPr>
            <w:tcW w:w="1960" w:type="dxa"/>
            <w:tcBorders>
              <w:top w:val="nil"/>
              <w:left w:val="single" w:sz="4" w:space="0" w:color="auto"/>
              <w:bottom w:val="nil"/>
              <w:right w:val="nil"/>
            </w:tcBorders>
            <w:shd w:val="clear" w:color="000000" w:fill="FFFFFF"/>
            <w:noWrap/>
          </w:tcPr>
          <w:p w14:paraId="55AA82F8" w14:textId="4AC747A8"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164</w:t>
            </w:r>
          </w:p>
        </w:tc>
        <w:tc>
          <w:tcPr>
            <w:tcW w:w="2127" w:type="dxa"/>
            <w:tcBorders>
              <w:top w:val="nil"/>
              <w:left w:val="nil"/>
              <w:bottom w:val="nil"/>
              <w:right w:val="single" w:sz="4" w:space="0" w:color="auto"/>
            </w:tcBorders>
            <w:shd w:val="clear" w:color="000000" w:fill="FFFFFF"/>
            <w:noWrap/>
            <w:vAlign w:val="bottom"/>
            <w:hideMark/>
          </w:tcPr>
          <w:p w14:paraId="0C1AC654" w14:textId="21EFDB1B"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6D2007EF" w14:textId="77777777" w:rsidTr="00DA1DE7">
        <w:trPr>
          <w:trHeight w:val="300"/>
          <w:jc w:val="center"/>
        </w:trPr>
        <w:tc>
          <w:tcPr>
            <w:tcW w:w="1840" w:type="dxa"/>
            <w:tcBorders>
              <w:top w:val="nil"/>
              <w:left w:val="single" w:sz="4" w:space="0" w:color="auto"/>
              <w:bottom w:val="nil"/>
              <w:right w:val="nil"/>
            </w:tcBorders>
            <w:shd w:val="clear" w:color="000000" w:fill="F2F2F2"/>
            <w:noWrap/>
            <w:vAlign w:val="center"/>
            <w:hideMark/>
          </w:tcPr>
          <w:p w14:paraId="31A5B161"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15</w:t>
            </w:r>
          </w:p>
        </w:tc>
        <w:tc>
          <w:tcPr>
            <w:tcW w:w="1960" w:type="dxa"/>
            <w:tcBorders>
              <w:top w:val="nil"/>
              <w:left w:val="single" w:sz="4" w:space="0" w:color="auto"/>
              <w:bottom w:val="nil"/>
              <w:right w:val="nil"/>
            </w:tcBorders>
            <w:shd w:val="clear" w:color="000000" w:fill="F2F2F2"/>
            <w:noWrap/>
          </w:tcPr>
          <w:p w14:paraId="3C92AE94" w14:textId="5A14DE28"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47</w:t>
            </w:r>
          </w:p>
        </w:tc>
        <w:tc>
          <w:tcPr>
            <w:tcW w:w="2127" w:type="dxa"/>
            <w:tcBorders>
              <w:top w:val="nil"/>
              <w:left w:val="nil"/>
              <w:bottom w:val="nil"/>
              <w:right w:val="single" w:sz="4" w:space="0" w:color="auto"/>
            </w:tcBorders>
            <w:shd w:val="clear" w:color="000000" w:fill="F2F2F2"/>
            <w:noWrap/>
            <w:vAlign w:val="bottom"/>
            <w:hideMark/>
          </w:tcPr>
          <w:p w14:paraId="566B4AC3" w14:textId="0E941526"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0B928977" w14:textId="77777777" w:rsidTr="00DA1DE7">
        <w:trPr>
          <w:trHeight w:val="300"/>
          <w:jc w:val="center"/>
        </w:trPr>
        <w:tc>
          <w:tcPr>
            <w:tcW w:w="1840" w:type="dxa"/>
            <w:tcBorders>
              <w:top w:val="nil"/>
              <w:left w:val="single" w:sz="4" w:space="0" w:color="auto"/>
              <w:bottom w:val="nil"/>
              <w:right w:val="nil"/>
            </w:tcBorders>
            <w:shd w:val="clear" w:color="000000" w:fill="FFFFFF"/>
            <w:noWrap/>
            <w:vAlign w:val="center"/>
            <w:hideMark/>
          </w:tcPr>
          <w:p w14:paraId="00DD47A6"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16</w:t>
            </w:r>
          </w:p>
        </w:tc>
        <w:tc>
          <w:tcPr>
            <w:tcW w:w="1960" w:type="dxa"/>
            <w:tcBorders>
              <w:top w:val="nil"/>
              <w:left w:val="single" w:sz="4" w:space="0" w:color="auto"/>
              <w:bottom w:val="nil"/>
              <w:right w:val="nil"/>
            </w:tcBorders>
            <w:shd w:val="clear" w:color="000000" w:fill="FFFFFF"/>
            <w:noWrap/>
          </w:tcPr>
          <w:p w14:paraId="44126D77" w14:textId="6D9B9479"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110</w:t>
            </w:r>
          </w:p>
        </w:tc>
        <w:tc>
          <w:tcPr>
            <w:tcW w:w="2127" w:type="dxa"/>
            <w:tcBorders>
              <w:top w:val="nil"/>
              <w:left w:val="nil"/>
              <w:bottom w:val="nil"/>
              <w:right w:val="single" w:sz="4" w:space="0" w:color="auto"/>
            </w:tcBorders>
            <w:shd w:val="clear" w:color="000000" w:fill="FFFFFF"/>
            <w:noWrap/>
            <w:vAlign w:val="bottom"/>
            <w:hideMark/>
          </w:tcPr>
          <w:p w14:paraId="655BBDF0" w14:textId="1BD4B1FA"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1FA5A7F5" w14:textId="77777777" w:rsidTr="00DA1DE7">
        <w:trPr>
          <w:trHeight w:val="300"/>
          <w:jc w:val="center"/>
        </w:trPr>
        <w:tc>
          <w:tcPr>
            <w:tcW w:w="1840" w:type="dxa"/>
            <w:tcBorders>
              <w:top w:val="nil"/>
              <w:left w:val="single" w:sz="4" w:space="0" w:color="auto"/>
              <w:bottom w:val="nil"/>
              <w:right w:val="nil"/>
            </w:tcBorders>
            <w:shd w:val="clear" w:color="000000" w:fill="F2F2F2"/>
            <w:noWrap/>
            <w:vAlign w:val="center"/>
            <w:hideMark/>
          </w:tcPr>
          <w:p w14:paraId="0FB05594"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17</w:t>
            </w:r>
          </w:p>
        </w:tc>
        <w:tc>
          <w:tcPr>
            <w:tcW w:w="1960" w:type="dxa"/>
            <w:tcBorders>
              <w:top w:val="nil"/>
              <w:left w:val="single" w:sz="4" w:space="0" w:color="auto"/>
              <w:bottom w:val="nil"/>
              <w:right w:val="nil"/>
            </w:tcBorders>
            <w:shd w:val="clear" w:color="000000" w:fill="F2F2F2"/>
            <w:noWrap/>
          </w:tcPr>
          <w:p w14:paraId="7ACFBCD8" w14:textId="049BCE09"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21</w:t>
            </w:r>
          </w:p>
        </w:tc>
        <w:tc>
          <w:tcPr>
            <w:tcW w:w="2127" w:type="dxa"/>
            <w:tcBorders>
              <w:top w:val="nil"/>
              <w:left w:val="nil"/>
              <w:bottom w:val="nil"/>
              <w:right w:val="single" w:sz="4" w:space="0" w:color="auto"/>
            </w:tcBorders>
            <w:shd w:val="clear" w:color="000000" w:fill="F2F2F2"/>
            <w:noWrap/>
            <w:vAlign w:val="bottom"/>
            <w:hideMark/>
          </w:tcPr>
          <w:p w14:paraId="43D00D93" w14:textId="6291DE3B"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1C2F1C49" w14:textId="77777777" w:rsidTr="00DA1DE7">
        <w:trPr>
          <w:trHeight w:val="300"/>
          <w:jc w:val="center"/>
        </w:trPr>
        <w:tc>
          <w:tcPr>
            <w:tcW w:w="1840" w:type="dxa"/>
            <w:tcBorders>
              <w:top w:val="nil"/>
              <w:left w:val="single" w:sz="4" w:space="0" w:color="auto"/>
              <w:bottom w:val="nil"/>
              <w:right w:val="nil"/>
            </w:tcBorders>
            <w:shd w:val="clear" w:color="000000" w:fill="FFFFFF"/>
            <w:noWrap/>
            <w:vAlign w:val="center"/>
            <w:hideMark/>
          </w:tcPr>
          <w:p w14:paraId="31291688"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18</w:t>
            </w:r>
          </w:p>
        </w:tc>
        <w:tc>
          <w:tcPr>
            <w:tcW w:w="1960" w:type="dxa"/>
            <w:tcBorders>
              <w:top w:val="nil"/>
              <w:left w:val="single" w:sz="4" w:space="0" w:color="auto"/>
              <w:bottom w:val="nil"/>
              <w:right w:val="nil"/>
            </w:tcBorders>
            <w:shd w:val="clear" w:color="000000" w:fill="FFFFFF"/>
            <w:noWrap/>
          </w:tcPr>
          <w:p w14:paraId="10521F8C" w14:textId="683BEE48"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33</w:t>
            </w:r>
          </w:p>
        </w:tc>
        <w:tc>
          <w:tcPr>
            <w:tcW w:w="2127" w:type="dxa"/>
            <w:tcBorders>
              <w:top w:val="nil"/>
              <w:left w:val="nil"/>
              <w:bottom w:val="nil"/>
              <w:right w:val="single" w:sz="4" w:space="0" w:color="auto"/>
            </w:tcBorders>
            <w:shd w:val="clear" w:color="000000" w:fill="FFFFFF"/>
            <w:noWrap/>
            <w:vAlign w:val="bottom"/>
            <w:hideMark/>
          </w:tcPr>
          <w:p w14:paraId="0B5021D8" w14:textId="64102E8E"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757D0863" w14:textId="77777777" w:rsidTr="00DA1DE7">
        <w:trPr>
          <w:trHeight w:val="300"/>
          <w:jc w:val="center"/>
        </w:trPr>
        <w:tc>
          <w:tcPr>
            <w:tcW w:w="1840" w:type="dxa"/>
            <w:tcBorders>
              <w:top w:val="nil"/>
              <w:left w:val="single" w:sz="4" w:space="0" w:color="auto"/>
              <w:bottom w:val="nil"/>
              <w:right w:val="nil"/>
            </w:tcBorders>
            <w:shd w:val="clear" w:color="000000" w:fill="F2F2F2"/>
            <w:noWrap/>
            <w:vAlign w:val="center"/>
            <w:hideMark/>
          </w:tcPr>
          <w:p w14:paraId="565CD491"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19</w:t>
            </w:r>
          </w:p>
        </w:tc>
        <w:tc>
          <w:tcPr>
            <w:tcW w:w="1960" w:type="dxa"/>
            <w:tcBorders>
              <w:top w:val="nil"/>
              <w:left w:val="single" w:sz="4" w:space="0" w:color="auto"/>
              <w:bottom w:val="nil"/>
              <w:right w:val="nil"/>
            </w:tcBorders>
            <w:shd w:val="clear" w:color="000000" w:fill="F2F2F2"/>
            <w:noWrap/>
          </w:tcPr>
          <w:p w14:paraId="4253936B" w14:textId="5E313724"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135</w:t>
            </w:r>
          </w:p>
        </w:tc>
        <w:tc>
          <w:tcPr>
            <w:tcW w:w="2127" w:type="dxa"/>
            <w:tcBorders>
              <w:top w:val="nil"/>
              <w:left w:val="nil"/>
              <w:bottom w:val="nil"/>
              <w:right w:val="single" w:sz="4" w:space="0" w:color="auto"/>
            </w:tcBorders>
            <w:shd w:val="clear" w:color="000000" w:fill="F2F2F2"/>
            <w:noWrap/>
            <w:vAlign w:val="bottom"/>
            <w:hideMark/>
          </w:tcPr>
          <w:p w14:paraId="34D89FF3" w14:textId="5CB15B28"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39D05564" w14:textId="77777777" w:rsidTr="00DA1DE7">
        <w:trPr>
          <w:trHeight w:val="300"/>
          <w:jc w:val="center"/>
        </w:trPr>
        <w:tc>
          <w:tcPr>
            <w:tcW w:w="1840" w:type="dxa"/>
            <w:tcBorders>
              <w:top w:val="nil"/>
              <w:left w:val="single" w:sz="4" w:space="0" w:color="auto"/>
              <w:bottom w:val="nil"/>
              <w:right w:val="nil"/>
            </w:tcBorders>
            <w:shd w:val="clear" w:color="000000" w:fill="FFFFFF"/>
            <w:noWrap/>
            <w:vAlign w:val="center"/>
            <w:hideMark/>
          </w:tcPr>
          <w:p w14:paraId="58B7B95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20</w:t>
            </w:r>
          </w:p>
        </w:tc>
        <w:tc>
          <w:tcPr>
            <w:tcW w:w="1960" w:type="dxa"/>
            <w:tcBorders>
              <w:top w:val="nil"/>
              <w:left w:val="single" w:sz="4" w:space="0" w:color="auto"/>
              <w:bottom w:val="nil"/>
              <w:right w:val="nil"/>
            </w:tcBorders>
            <w:shd w:val="clear" w:color="000000" w:fill="FFFFFF"/>
            <w:noWrap/>
          </w:tcPr>
          <w:p w14:paraId="1B4F51A6" w14:textId="211D4B01"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16</w:t>
            </w:r>
          </w:p>
        </w:tc>
        <w:tc>
          <w:tcPr>
            <w:tcW w:w="2127" w:type="dxa"/>
            <w:tcBorders>
              <w:top w:val="nil"/>
              <w:left w:val="nil"/>
              <w:bottom w:val="nil"/>
              <w:right w:val="single" w:sz="4" w:space="0" w:color="auto"/>
            </w:tcBorders>
            <w:shd w:val="clear" w:color="000000" w:fill="FFFFFF"/>
            <w:noWrap/>
            <w:vAlign w:val="bottom"/>
            <w:hideMark/>
          </w:tcPr>
          <w:p w14:paraId="7AF8E75A" w14:textId="59E8D3E1"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19427F0C" w14:textId="77777777" w:rsidTr="00DA1DE7">
        <w:trPr>
          <w:trHeight w:val="300"/>
          <w:jc w:val="center"/>
        </w:trPr>
        <w:tc>
          <w:tcPr>
            <w:tcW w:w="1840" w:type="dxa"/>
            <w:tcBorders>
              <w:top w:val="nil"/>
              <w:left w:val="single" w:sz="4" w:space="0" w:color="auto"/>
              <w:bottom w:val="nil"/>
              <w:right w:val="nil"/>
            </w:tcBorders>
            <w:shd w:val="clear" w:color="000000" w:fill="F2F2F2"/>
            <w:noWrap/>
            <w:vAlign w:val="center"/>
            <w:hideMark/>
          </w:tcPr>
          <w:p w14:paraId="0868B42C"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21</w:t>
            </w:r>
          </w:p>
        </w:tc>
        <w:tc>
          <w:tcPr>
            <w:tcW w:w="1960" w:type="dxa"/>
            <w:tcBorders>
              <w:top w:val="nil"/>
              <w:left w:val="single" w:sz="4" w:space="0" w:color="auto"/>
              <w:bottom w:val="nil"/>
              <w:right w:val="nil"/>
            </w:tcBorders>
            <w:shd w:val="clear" w:color="000000" w:fill="F2F2F2"/>
            <w:noWrap/>
          </w:tcPr>
          <w:p w14:paraId="33D4C378" w14:textId="7BD3208E"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65587A">
              <w:t>45</w:t>
            </w:r>
          </w:p>
        </w:tc>
        <w:tc>
          <w:tcPr>
            <w:tcW w:w="2127" w:type="dxa"/>
            <w:tcBorders>
              <w:top w:val="nil"/>
              <w:left w:val="nil"/>
              <w:bottom w:val="nil"/>
              <w:right w:val="single" w:sz="4" w:space="0" w:color="auto"/>
            </w:tcBorders>
            <w:shd w:val="clear" w:color="000000" w:fill="F2F2F2"/>
            <w:noWrap/>
            <w:vAlign w:val="bottom"/>
            <w:hideMark/>
          </w:tcPr>
          <w:p w14:paraId="47D6DF54" w14:textId="5083D0C5"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2DC259A8" w14:textId="77777777" w:rsidTr="00DA1DE7">
        <w:trPr>
          <w:trHeight w:val="315"/>
          <w:jc w:val="center"/>
        </w:trPr>
        <w:tc>
          <w:tcPr>
            <w:tcW w:w="1840" w:type="dxa"/>
            <w:tcBorders>
              <w:top w:val="nil"/>
              <w:left w:val="single" w:sz="4" w:space="0" w:color="auto"/>
              <w:bottom w:val="nil"/>
              <w:right w:val="nil"/>
            </w:tcBorders>
            <w:shd w:val="clear" w:color="000000" w:fill="FFFFFF"/>
            <w:noWrap/>
            <w:vAlign w:val="center"/>
            <w:hideMark/>
          </w:tcPr>
          <w:p w14:paraId="2710A78F" w14:textId="77777777" w:rsidR="0037442D" w:rsidRPr="009E45C7" w:rsidRDefault="0037442D" w:rsidP="0037442D">
            <w:pPr>
              <w:spacing w:after="0" w:line="240" w:lineRule="auto"/>
              <w:jc w:val="center"/>
              <w:rPr>
                <w:rFonts w:asciiTheme="majorBidi" w:eastAsia="Times New Roman" w:hAnsiTheme="majorBidi" w:cstheme="majorBidi"/>
                <w:color w:val="000000"/>
                <w:szCs w:val="24"/>
              </w:rPr>
            </w:pPr>
            <w:r w:rsidRPr="009E45C7">
              <w:rPr>
                <w:rFonts w:asciiTheme="majorBidi" w:eastAsia="Times New Roman" w:hAnsiTheme="majorBidi" w:cstheme="majorBidi"/>
                <w:color w:val="000000"/>
                <w:szCs w:val="24"/>
              </w:rPr>
              <w:t>22</w:t>
            </w:r>
          </w:p>
        </w:tc>
        <w:tc>
          <w:tcPr>
            <w:tcW w:w="1960" w:type="dxa"/>
            <w:tcBorders>
              <w:top w:val="nil"/>
              <w:left w:val="single" w:sz="4" w:space="0" w:color="auto"/>
              <w:bottom w:val="nil"/>
              <w:right w:val="nil"/>
            </w:tcBorders>
            <w:shd w:val="clear" w:color="000000" w:fill="FFFFFF"/>
            <w:noWrap/>
          </w:tcPr>
          <w:p w14:paraId="44F8D544" w14:textId="3208F4F5" w:rsidR="0037442D" w:rsidRPr="009E45C7" w:rsidRDefault="0037442D" w:rsidP="0037442D">
            <w:pPr>
              <w:spacing w:after="0" w:line="240" w:lineRule="auto"/>
              <w:jc w:val="center"/>
              <w:rPr>
                <w:rFonts w:asciiTheme="majorBidi" w:eastAsia="Times New Roman" w:hAnsiTheme="majorBidi" w:cstheme="majorBidi"/>
                <w:color w:val="000000"/>
                <w:szCs w:val="24"/>
              </w:rPr>
            </w:pPr>
            <w:r>
              <w:t>63</w:t>
            </w:r>
          </w:p>
        </w:tc>
        <w:tc>
          <w:tcPr>
            <w:tcW w:w="2127" w:type="dxa"/>
            <w:tcBorders>
              <w:top w:val="nil"/>
              <w:left w:val="nil"/>
              <w:bottom w:val="nil"/>
              <w:right w:val="single" w:sz="4" w:space="0" w:color="auto"/>
            </w:tcBorders>
            <w:shd w:val="clear" w:color="000000" w:fill="FFFFFF"/>
            <w:noWrap/>
            <w:vAlign w:val="bottom"/>
            <w:hideMark/>
          </w:tcPr>
          <w:p w14:paraId="26E1568E" w14:textId="7AE8A31D" w:rsidR="0037442D" w:rsidRPr="009E45C7" w:rsidRDefault="0037442D" w:rsidP="0037442D">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TBD</w:t>
            </w:r>
          </w:p>
        </w:tc>
      </w:tr>
      <w:tr w:rsidR="0037442D" w:rsidRPr="009E45C7" w14:paraId="3AB918FD" w14:textId="77777777" w:rsidTr="00DA1DE7">
        <w:trPr>
          <w:trHeight w:val="315"/>
          <w:jc w:val="center"/>
        </w:trPr>
        <w:tc>
          <w:tcPr>
            <w:tcW w:w="184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13F6543B" w14:textId="77777777" w:rsidR="0037442D" w:rsidRPr="009E45C7" w:rsidRDefault="0037442D" w:rsidP="0037442D">
            <w:pPr>
              <w:spacing w:after="0" w:line="240" w:lineRule="auto"/>
              <w:jc w:val="center"/>
              <w:rPr>
                <w:rFonts w:asciiTheme="majorBidi" w:eastAsia="Times New Roman" w:hAnsiTheme="majorBidi" w:cstheme="majorBidi"/>
                <w:b/>
                <w:bCs/>
                <w:color w:val="000000"/>
                <w:szCs w:val="24"/>
              </w:rPr>
            </w:pPr>
            <w:r w:rsidRPr="009E45C7">
              <w:rPr>
                <w:rFonts w:asciiTheme="majorBidi" w:eastAsia="Times New Roman" w:hAnsiTheme="majorBidi" w:cstheme="majorBidi"/>
                <w:b/>
                <w:bCs/>
                <w:color w:val="000000"/>
                <w:szCs w:val="24"/>
              </w:rPr>
              <w:t>Total</w:t>
            </w:r>
          </w:p>
        </w:tc>
        <w:tc>
          <w:tcPr>
            <w:tcW w:w="1960" w:type="dxa"/>
            <w:tcBorders>
              <w:top w:val="single" w:sz="8" w:space="0" w:color="auto"/>
              <w:left w:val="nil"/>
              <w:bottom w:val="single" w:sz="8" w:space="0" w:color="auto"/>
              <w:right w:val="single" w:sz="4" w:space="0" w:color="auto"/>
            </w:tcBorders>
            <w:shd w:val="clear" w:color="000000" w:fill="F2F2F2"/>
            <w:noWrap/>
            <w:vAlign w:val="center"/>
            <w:hideMark/>
          </w:tcPr>
          <w:p w14:paraId="6C0A18DF" w14:textId="489795B1" w:rsidR="0037442D" w:rsidRPr="009E45C7" w:rsidRDefault="0037442D" w:rsidP="0037442D">
            <w:pPr>
              <w:spacing w:after="0" w:line="240" w:lineRule="auto"/>
              <w:jc w:val="center"/>
              <w:rPr>
                <w:rFonts w:asciiTheme="majorBidi" w:eastAsia="Times New Roman" w:hAnsiTheme="majorBidi" w:cstheme="majorBidi"/>
                <w:b/>
                <w:bCs/>
                <w:color w:val="000000"/>
                <w:szCs w:val="24"/>
              </w:rPr>
            </w:pPr>
            <w:r>
              <w:rPr>
                <w:rFonts w:asciiTheme="majorBidi" w:eastAsia="Times New Roman" w:hAnsiTheme="majorBidi" w:cstheme="majorBidi"/>
                <w:b/>
                <w:bCs/>
                <w:color w:val="000000"/>
                <w:szCs w:val="24"/>
              </w:rPr>
              <w:t>1519</w:t>
            </w:r>
          </w:p>
        </w:tc>
        <w:tc>
          <w:tcPr>
            <w:tcW w:w="2127" w:type="dxa"/>
            <w:tcBorders>
              <w:top w:val="single" w:sz="8" w:space="0" w:color="auto"/>
              <w:left w:val="nil"/>
              <w:bottom w:val="single" w:sz="8" w:space="0" w:color="auto"/>
              <w:right w:val="single" w:sz="8" w:space="0" w:color="auto"/>
            </w:tcBorders>
            <w:shd w:val="clear" w:color="000000" w:fill="F2F2F2"/>
            <w:noWrap/>
            <w:vAlign w:val="center"/>
            <w:hideMark/>
          </w:tcPr>
          <w:p w14:paraId="0E284A5A" w14:textId="0FBC3C9F" w:rsidR="0037442D" w:rsidRPr="009E45C7" w:rsidRDefault="0037442D" w:rsidP="00530B01">
            <w:pPr>
              <w:keepNext/>
              <w:spacing w:after="0" w:line="240" w:lineRule="auto"/>
              <w:jc w:val="center"/>
              <w:rPr>
                <w:rFonts w:asciiTheme="majorBidi" w:eastAsia="Times New Roman" w:hAnsiTheme="majorBidi" w:cstheme="majorBidi"/>
                <w:b/>
                <w:bCs/>
                <w:color w:val="000000"/>
                <w:szCs w:val="24"/>
              </w:rPr>
            </w:pPr>
          </w:p>
        </w:tc>
      </w:tr>
    </w:tbl>
    <w:p w14:paraId="6CD7A31F" w14:textId="45FB2765" w:rsidR="00530B01" w:rsidRDefault="00530B01" w:rsidP="00530B01">
      <w:pPr>
        <w:pStyle w:val="Caption"/>
        <w:spacing w:before="120" w:after="120"/>
        <w:jc w:val="center"/>
      </w:pPr>
      <w:bookmarkStart w:id="16" w:name="_Ref426969950"/>
      <w:r>
        <w:t>Table 6-</w:t>
      </w:r>
      <w:r w:rsidR="00780B68">
        <w:fldChar w:fldCharType="begin"/>
      </w:r>
      <w:r w:rsidR="00780B68">
        <w:instrText xml:space="preserve"> SEQ Table_6- \* ARABIC </w:instrText>
      </w:r>
      <w:r w:rsidR="00780B68">
        <w:fldChar w:fldCharType="separate"/>
      </w:r>
      <w:r>
        <w:rPr>
          <w:noProof/>
        </w:rPr>
        <w:t>3</w:t>
      </w:r>
      <w:r w:rsidR="00780B68">
        <w:rPr>
          <w:noProof/>
        </w:rPr>
        <w:fldChar w:fldCharType="end"/>
      </w:r>
      <w:r>
        <w:t xml:space="preserve"> Recommended number of feral hogs to be removed by subwatershed</w:t>
      </w:r>
      <w:bookmarkEnd w:id="16"/>
    </w:p>
    <w:p w14:paraId="23ECFC41" w14:textId="5CA51EA6" w:rsidR="008E1EB6" w:rsidRDefault="00EB3D36" w:rsidP="002C4555">
      <w:r>
        <w:t>S</w:t>
      </w:r>
      <w:r w:rsidR="00B83669">
        <w:t>ELECT identified t</w:t>
      </w:r>
      <w:r w:rsidR="008E1EB6" w:rsidRPr="008E1EB6">
        <w:t xml:space="preserve">he </w:t>
      </w:r>
      <w:r w:rsidR="00B83669">
        <w:t xml:space="preserve">bacteria contribution from the </w:t>
      </w:r>
      <w:r w:rsidR="008E1EB6" w:rsidRPr="008E1EB6">
        <w:t>feral hog population in the Double Bayou Watershed</w:t>
      </w:r>
      <w:r w:rsidR="00B83669">
        <w:t xml:space="preserve"> as</w:t>
      </w:r>
      <w:r w:rsidR="008E1EB6" w:rsidRPr="008E1EB6">
        <w:t xml:space="preserve"> large enough t</w:t>
      </w:r>
      <w:r w:rsidR="00B83669">
        <w:t>o</w:t>
      </w:r>
      <w:r w:rsidR="008E1EB6" w:rsidRPr="008E1EB6">
        <w:t xml:space="preserve"> </w:t>
      </w:r>
      <w:r w:rsidR="00B83669">
        <w:t>warrant</w:t>
      </w:r>
      <w:r w:rsidR="002C4555">
        <w:t xml:space="preserve"> the creation of a Feral Hog Management Plan</w:t>
      </w:r>
      <w:r w:rsidR="008E1EB6" w:rsidRPr="008E1EB6">
        <w:t>.</w:t>
      </w:r>
      <w:r w:rsidR="002C4555">
        <w:t xml:space="preserve"> The plan would be comprised of the feral hog management measures discussed in this section.</w:t>
      </w:r>
      <w:r w:rsidR="008E1EB6">
        <w:t xml:space="preserve"> </w:t>
      </w:r>
      <w:r w:rsidR="00B83669">
        <w:t xml:space="preserve">Concern was </w:t>
      </w:r>
      <w:r w:rsidR="008E1EB6" w:rsidRPr="006930D0">
        <w:t xml:space="preserve">expressed </w:t>
      </w:r>
      <w:r w:rsidR="008E1EB6">
        <w:t xml:space="preserve">by the stakeholders that an effective feral hog management system in the Double Bayou Watershed may simply drive the feral hogs across neighboring borders where management measures are not in place or </w:t>
      </w:r>
      <w:r w:rsidR="00B83669">
        <w:t>may be lax</w:t>
      </w:r>
      <w:r w:rsidR="008E1EB6">
        <w:t>. Due to the transboundary management requirements of feral hogs</w:t>
      </w:r>
      <w:r w:rsidR="00E42D2A">
        <w:t>,</w:t>
      </w:r>
      <w:r w:rsidR="008E1EB6">
        <w:t xml:space="preserve"> the stakeholders explicitly suggested that the Double Bayou Watershed Partnership form relationships with neighboring </w:t>
      </w:r>
      <w:r w:rsidR="002217E8">
        <w:t>watersheds and counties to eradicate</w:t>
      </w:r>
      <w:r w:rsidR="008E1EB6">
        <w:t xml:space="preserve"> </w:t>
      </w:r>
      <w:r w:rsidR="008E1EB6">
        <w:lastRenderedPageBreak/>
        <w:t>the feral hogs from the region. Furthermore, t</w:t>
      </w:r>
      <w:r w:rsidR="008E1EB6" w:rsidRPr="006930D0">
        <w:t>he stakeholders also suggested holding a workshop to discuss the</w:t>
      </w:r>
      <w:r w:rsidR="008E1EB6">
        <w:t xml:space="preserve"> potential for a</w:t>
      </w:r>
      <w:r w:rsidR="008E1EB6" w:rsidRPr="006930D0">
        <w:t xml:space="preserve"> statewide</w:t>
      </w:r>
      <w:r w:rsidR="008E1EB6">
        <w:t xml:space="preserve"> feral hog management</w:t>
      </w:r>
      <w:r w:rsidR="008E1EB6" w:rsidRPr="006930D0">
        <w:t xml:space="preserve"> program</w:t>
      </w:r>
      <w:r w:rsidR="008E1EB6">
        <w:t>. However, until a statewide program can be discussed</w:t>
      </w:r>
      <w:r w:rsidR="00E42D2A">
        <w:t>,</w:t>
      </w:r>
      <w:r w:rsidR="008E1EB6">
        <w:t xml:space="preserve"> the Agriculture/Wildlife/Feral Hog workgroup suggested the following feral hog management measures</w:t>
      </w:r>
      <w:r w:rsidR="002C4555">
        <w:t xml:space="preserve"> for the Double Bayou Watershed:</w:t>
      </w:r>
      <w:r w:rsidR="008E1EB6">
        <w:t xml:space="preserve"> </w:t>
      </w:r>
    </w:p>
    <w:p w14:paraId="02B29ABC" w14:textId="1C53DD9C" w:rsidR="00B83669" w:rsidRDefault="005136E5" w:rsidP="002472B9">
      <w:pPr>
        <w:pStyle w:val="ListParagraph"/>
        <w:numPr>
          <w:ilvl w:val="0"/>
          <w:numId w:val="2"/>
        </w:numPr>
      </w:pPr>
      <w:r w:rsidRPr="00EA749B">
        <w:rPr>
          <w:b/>
          <w:bCs/>
          <w:i/>
          <w:iCs/>
        </w:rPr>
        <w:t>Feral Hog S</w:t>
      </w:r>
      <w:r w:rsidR="00EA749B" w:rsidRPr="00EA749B">
        <w:rPr>
          <w:b/>
          <w:bCs/>
          <w:i/>
          <w:iCs/>
        </w:rPr>
        <w:t>pecialist</w:t>
      </w:r>
      <w:r w:rsidR="00EA749B">
        <w:t xml:space="preserve">: </w:t>
      </w:r>
      <w:r w:rsidR="00D41798">
        <w:t xml:space="preserve">The existing Texas AgriLife Extension </w:t>
      </w:r>
      <w:r w:rsidR="001150EB">
        <w:t>Feral Hog S</w:t>
      </w:r>
      <w:r w:rsidR="00D41798">
        <w:t xml:space="preserve">pecialists for South Texas will be </w:t>
      </w:r>
      <w:r w:rsidR="00D46B3D">
        <w:t xml:space="preserve">available to work </w:t>
      </w:r>
      <w:r w:rsidR="00D41798">
        <w:t xml:space="preserve">in </w:t>
      </w:r>
      <w:r w:rsidR="00D46B3D">
        <w:t xml:space="preserve">the </w:t>
      </w:r>
      <w:r w:rsidR="00D41798">
        <w:t>Double Bayou</w:t>
      </w:r>
      <w:r w:rsidR="00D46B3D">
        <w:t xml:space="preserve"> watershed</w:t>
      </w:r>
      <w:r w:rsidR="00D41798">
        <w:t>. The specialist will be able to lend t</w:t>
      </w:r>
      <w:r w:rsidR="008E1EB6">
        <w:t>echnical assistance</w:t>
      </w:r>
      <w:r w:rsidR="00D41798">
        <w:t xml:space="preserve"> a</w:t>
      </w:r>
      <w:r w:rsidR="00CF0C95">
        <w:t>nd insight</w:t>
      </w:r>
      <w:r w:rsidR="00D41798">
        <w:t xml:space="preserve"> for trapping and managing the feral hog population. </w:t>
      </w:r>
    </w:p>
    <w:p w14:paraId="03D9328D" w14:textId="6F670A39" w:rsidR="005136E5" w:rsidRDefault="00DD36D5" w:rsidP="00ED7F7E">
      <w:pPr>
        <w:pStyle w:val="ListParagraph"/>
        <w:numPr>
          <w:ilvl w:val="0"/>
          <w:numId w:val="2"/>
        </w:numPr>
      </w:pPr>
      <w:r w:rsidRPr="00EA749B">
        <w:rPr>
          <w:b/>
          <w:bCs/>
          <w:i/>
          <w:iCs/>
        </w:rPr>
        <w:t>Feral Hog Management</w:t>
      </w:r>
      <w:r w:rsidR="00EA749B">
        <w:t xml:space="preserve">: </w:t>
      </w:r>
      <w:r w:rsidR="005136E5">
        <w:t>Will include the creation of a County feral hog position that will assist stakeholders and</w:t>
      </w:r>
      <w:r w:rsidR="002217E8">
        <w:t xml:space="preserve"> allow them to borrow trapping equipment </w:t>
      </w:r>
      <w:r w:rsidR="005136E5">
        <w:t>and tools. Management measure may include:</w:t>
      </w:r>
      <w:r w:rsidR="00D46B3D">
        <w:t xml:space="preserve"> T</w:t>
      </w:r>
      <w:r w:rsidR="005136E5">
        <w:t>rapping</w:t>
      </w:r>
      <w:r w:rsidR="008E1EB6">
        <w:t xml:space="preserve">, </w:t>
      </w:r>
      <w:r w:rsidR="00E42D2A">
        <w:t>a</w:t>
      </w:r>
      <w:r>
        <w:t>erial shooting</w:t>
      </w:r>
      <w:r w:rsidR="008E1EB6">
        <w:t xml:space="preserve">, </w:t>
      </w:r>
      <w:r w:rsidR="00E42D2A">
        <w:t>e</w:t>
      </w:r>
      <w:r>
        <w:t>xclusionary fencing</w:t>
      </w:r>
      <w:r w:rsidR="00ED7F7E">
        <w:t xml:space="preserve"> and</w:t>
      </w:r>
      <w:r w:rsidR="008E1EB6">
        <w:t xml:space="preserve"> </w:t>
      </w:r>
      <w:r w:rsidR="00E42D2A">
        <w:t>i</w:t>
      </w:r>
      <w:r>
        <w:t>ncreased hunting</w:t>
      </w:r>
      <w:r w:rsidR="005136E5">
        <w:t xml:space="preserve"> and</w:t>
      </w:r>
      <w:r w:rsidR="00ED7F7E">
        <w:t xml:space="preserve"> removal.</w:t>
      </w:r>
    </w:p>
    <w:p w14:paraId="42725A06" w14:textId="3C090842" w:rsidR="00ED7F7E" w:rsidRDefault="00ED7F7E" w:rsidP="00266EDB">
      <w:r>
        <w:t xml:space="preserve">The stakeholders also expressed a desire for the </w:t>
      </w:r>
      <w:r w:rsidR="00DD36D5">
        <w:t>County</w:t>
      </w:r>
      <w:r w:rsidR="00266EDB">
        <w:t xml:space="preserve"> to implement</w:t>
      </w:r>
      <w:r>
        <w:t xml:space="preserve"> a program that will issue  </w:t>
      </w:r>
      <w:r w:rsidR="00DD36D5">
        <w:t xml:space="preserve"> bounties for feral hogs</w:t>
      </w:r>
      <w:r>
        <w:t>.</w:t>
      </w:r>
      <w:r w:rsidR="00043F90">
        <w:t xml:space="preserve"> They suggested that the bounty would provide an incentive to increase the hunting of feral hogs.</w:t>
      </w:r>
    </w:p>
    <w:p w14:paraId="49E57651" w14:textId="0E563F33" w:rsidR="00266AAA" w:rsidRDefault="00973F89" w:rsidP="007F1F9F">
      <w:pPr>
        <w:pStyle w:val="Heading3"/>
        <w:numPr>
          <w:ilvl w:val="2"/>
          <w:numId w:val="32"/>
        </w:numPr>
      </w:pPr>
      <w:bookmarkStart w:id="17" w:name="_Toc421172300"/>
      <w:r>
        <w:t>Recreation Management Measures</w:t>
      </w:r>
      <w:bookmarkEnd w:id="17"/>
      <w:r>
        <w:t xml:space="preserve"> </w:t>
      </w:r>
    </w:p>
    <w:p w14:paraId="48E3D031" w14:textId="4BDE6DCA" w:rsidR="00973F89" w:rsidRDefault="0084642F" w:rsidP="00391D33">
      <w:r>
        <w:t xml:space="preserve">The </w:t>
      </w:r>
      <w:r w:rsidR="002438DA">
        <w:t>Recreation/Hunting Workgroup m</w:t>
      </w:r>
      <w:r>
        <w:t>et to discuss management measures to reduce the amount of nonpoint source</w:t>
      </w:r>
      <w:r w:rsidR="00D46B3D">
        <w:t xml:space="preserve"> bacteria</w:t>
      </w:r>
      <w:r>
        <w:t xml:space="preserve"> from recreational activities in the Double Bayou Watershed. To address the </w:t>
      </w:r>
      <w:r w:rsidR="002438DA">
        <w:t>boater w</w:t>
      </w:r>
      <w:r w:rsidR="00612342">
        <w:t>aste</w:t>
      </w:r>
      <w:r w:rsidR="002438DA">
        <w:t xml:space="preserve"> issue</w:t>
      </w:r>
      <w:r w:rsidR="00E42D2A">
        <w:t>,</w:t>
      </w:r>
      <w:r w:rsidR="002438DA">
        <w:t xml:space="preserve"> the stakeholders suggested the creation of a pump out station at Job Beason Park. The installation and maintenance of the pump out station could be handled by the County </w:t>
      </w:r>
      <w:r w:rsidR="00F20469">
        <w:t>and the Galveston Bay Foundation. The goal would be to promote the use of the pump out station that will be in a readily accessi</w:t>
      </w:r>
      <w:r w:rsidR="002217E8">
        <w:t xml:space="preserve">ble area. The more that recreational </w:t>
      </w:r>
      <w:r w:rsidR="00F20469">
        <w:t>boaters use the pump out sta</w:t>
      </w:r>
      <w:r w:rsidR="002217E8">
        <w:t>tion</w:t>
      </w:r>
      <w:r w:rsidR="00E42D2A">
        <w:t>,</w:t>
      </w:r>
      <w:r w:rsidR="002217E8">
        <w:t xml:space="preserve"> the less boater waste </w:t>
      </w:r>
      <w:r w:rsidR="00F20469">
        <w:t>will be discharged into the bayous and adjacent Trinity Bay.</w:t>
      </w:r>
    </w:p>
    <w:p w14:paraId="33434153" w14:textId="3254E41D" w:rsidR="001E364A" w:rsidRDefault="002472B9">
      <w:r>
        <w:t>Compared to the abundant recreational activities in the watershed</w:t>
      </w:r>
      <w:r w:rsidR="00E42D2A">
        <w:t>,</w:t>
      </w:r>
      <w:r>
        <w:t xml:space="preserve"> there are relatively few sanitation facilities for stakeholders</w:t>
      </w:r>
      <w:r w:rsidR="002217E8">
        <w:t xml:space="preserve"> and recreationalist</w:t>
      </w:r>
      <w:r>
        <w:t>. The potential creation of</w:t>
      </w:r>
      <w:r w:rsidR="00612342">
        <w:t xml:space="preserve"> other restroom</w:t>
      </w:r>
      <w:r>
        <w:t xml:space="preserve">s was noted as a possible management measure by the stakeholders </w:t>
      </w:r>
      <w:r w:rsidR="00E42D2A">
        <w:t>although it was recognized that other management measures are higher priority</w:t>
      </w:r>
      <w:r>
        <w:t>. C</w:t>
      </w:r>
      <w:r w:rsidR="00612342">
        <w:t>hambersWild</w:t>
      </w:r>
      <w:r>
        <w:t xml:space="preserve"> is one organization that may be able to faci</w:t>
      </w:r>
      <w:r w:rsidR="00391D33">
        <w:t xml:space="preserve">litate this management measure. </w:t>
      </w:r>
      <w:r w:rsidR="000F67DF">
        <w:t>Another recreational</w:t>
      </w:r>
      <w:r>
        <w:t xml:space="preserve"> issue in the watershed is the s</w:t>
      </w:r>
      <w:r w:rsidR="0077693B" w:rsidRPr="0077693B">
        <w:t xml:space="preserve">edimentation </w:t>
      </w:r>
      <w:r>
        <w:t xml:space="preserve">of the bayous </w:t>
      </w:r>
      <w:r w:rsidR="0077693B" w:rsidRPr="0077693B">
        <w:t>from erosion</w:t>
      </w:r>
      <w:r>
        <w:t xml:space="preserve"> caused by recreational</w:t>
      </w:r>
      <w:r w:rsidR="0077693B" w:rsidRPr="0077693B">
        <w:t xml:space="preserve"> ATVs</w:t>
      </w:r>
      <w:r>
        <w:t xml:space="preserve"> </w:t>
      </w:r>
      <w:r w:rsidR="00391D33">
        <w:t xml:space="preserve">and </w:t>
      </w:r>
      <w:r w:rsidR="00391D33" w:rsidRPr="0077693B">
        <w:t>motorboats</w:t>
      </w:r>
      <w:r w:rsidR="00391D33">
        <w:t xml:space="preserve"> in riparian areas</w:t>
      </w:r>
      <w:r w:rsidR="00105685">
        <w:t>. The stakeholders st</w:t>
      </w:r>
      <w:r w:rsidR="00391D33">
        <w:t xml:space="preserve">ated that the damaged caused by these recreational activities </w:t>
      </w:r>
      <w:r w:rsidR="0077693B" w:rsidRPr="0077693B">
        <w:t>and</w:t>
      </w:r>
      <w:r w:rsidR="00391D33">
        <w:t xml:space="preserve"> subsequent</w:t>
      </w:r>
      <w:r w:rsidR="0077693B" w:rsidRPr="0077693B">
        <w:t xml:space="preserve"> loss of vegetation </w:t>
      </w:r>
      <w:r w:rsidR="00391D33">
        <w:t xml:space="preserve">should be addressed. </w:t>
      </w:r>
      <w:r w:rsidR="00D46B3D">
        <w:t>A larger issue of concern to stakeholders is oil sheen from motorboats; an idea is the creation of an incentive program to people who either replace their older boat engines or keep them in proper working order. The stakeholders expressed interest in developing and facilitating this initiative.</w:t>
      </w:r>
    </w:p>
    <w:p w14:paraId="6F3C48B3" w14:textId="77777777" w:rsidR="006F1449" w:rsidRDefault="006F1449"/>
    <w:p w14:paraId="76BDF468" w14:textId="77777777" w:rsidR="006F1449" w:rsidRDefault="006F1449"/>
    <w:p w14:paraId="7DC00CAA" w14:textId="77777777" w:rsidR="00511547" w:rsidRDefault="00511547"/>
    <w:p w14:paraId="57579088" w14:textId="77777777" w:rsidR="0045043C" w:rsidRDefault="0045043C"/>
    <w:p w14:paraId="0E1A6024" w14:textId="7E48833F" w:rsidR="0045043C" w:rsidRDefault="00F6195A">
      <w:r>
        <w:lastRenderedPageBreak/>
        <w:t>References</w:t>
      </w:r>
    </w:p>
    <w:p w14:paraId="472CD8C5" w14:textId="58F762E1" w:rsidR="008E5B2D" w:rsidRDefault="00780B68" w:rsidP="00143574">
      <w:pPr>
        <w:spacing w:line="240" w:lineRule="auto"/>
        <w:ind w:left="720" w:hanging="720"/>
      </w:pPr>
      <w:r>
        <w:fldChar w:fldCharType="begin"/>
      </w:r>
      <w:r>
        <w:instrText xml:space="preserve"> ADDIN EN.REFLIST </w:instrText>
      </w:r>
      <w:r>
        <w:fldChar w:fldCharType="separate"/>
      </w:r>
      <w:bookmarkStart w:id="18" w:name="_ENREF_1"/>
      <w:r w:rsidR="00AA42CD" w:rsidRPr="00AA42CD">
        <w:rPr>
          <w:rFonts w:cs="Times New Roman"/>
          <w:noProof/>
        </w:rPr>
        <w:t>Peterson, J., E. Jordan, et al. (2012). Lone Star Healthy Streams Dairy Cattle Manual, Texas A&amp;M AgriLife Extension.</w:t>
      </w:r>
      <w:bookmarkEnd w:id="18"/>
      <w:r>
        <w:rPr>
          <w:rFonts w:cs="Times New Roman"/>
          <w:noProof/>
        </w:rPr>
        <w:fldChar w:fldCharType="end"/>
      </w:r>
      <w:r w:rsidR="000172E2">
        <w:t xml:space="preserve"> </w:t>
      </w:r>
    </w:p>
    <w:sectPr w:rsidR="008E5B2D">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Ryan Bare" w:date="2015-07-23T14:14:00Z" w:initials="RB">
    <w:p w14:paraId="7863B50F" w14:textId="6D784F6D" w:rsidR="00151BE6" w:rsidRDefault="00151BE6">
      <w:pPr>
        <w:pStyle w:val="CommentText"/>
      </w:pPr>
      <w:r>
        <w:rPr>
          <w:rStyle w:val="CommentReference"/>
        </w:rPr>
        <w:annotationRef/>
      </w:r>
      <w:r>
        <w:t>Could add maintain grease traps for commercial use</w:t>
      </w:r>
    </w:p>
  </w:comment>
  <w:comment w:id="9" w:author="Ryan Bare" w:date="2015-07-23T14:02:00Z" w:initials="RB">
    <w:p w14:paraId="0983872C" w14:textId="0C6965FD" w:rsidR="00000E37" w:rsidRDefault="00000E37">
      <w:pPr>
        <w:pStyle w:val="CommentText"/>
      </w:pPr>
      <w:r>
        <w:rPr>
          <w:rStyle w:val="CommentReference"/>
        </w:rPr>
        <w:annotationRef/>
      </w:r>
      <w:r>
        <w:t xml:space="preserve">Add that having a approved WQMP will help to secure EQIP funding as discussed in ch 8 </w:t>
      </w:r>
    </w:p>
  </w:comment>
  <w:comment w:id="10" w:author="Ryan Bare" w:date="2015-07-23T14:04:00Z" w:initials="RB">
    <w:p w14:paraId="6929F51E" w14:textId="5D665627" w:rsidR="00086FE5" w:rsidRDefault="00086FE5">
      <w:pPr>
        <w:pStyle w:val="CommentText"/>
      </w:pPr>
      <w:r>
        <w:rPr>
          <w:rStyle w:val="CommentReference"/>
        </w:rPr>
        <w:annotationRef/>
      </w:r>
      <w:r>
        <w:t>21 plans already in watershed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3B50F" w15:done="0"/>
  <w15:commentEx w15:paraId="0983872C" w15:done="0"/>
  <w15:commentEx w15:paraId="6929F5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0D3DF" w14:textId="77777777" w:rsidR="00122B33" w:rsidRDefault="00122B33" w:rsidP="00122B33">
      <w:pPr>
        <w:spacing w:after="0" w:line="240" w:lineRule="auto"/>
      </w:pPr>
      <w:r>
        <w:separator/>
      </w:r>
    </w:p>
  </w:endnote>
  <w:endnote w:type="continuationSeparator" w:id="0">
    <w:p w14:paraId="27F9C80D" w14:textId="77777777" w:rsidR="00122B33" w:rsidRDefault="00122B33" w:rsidP="0012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680499"/>
      <w:docPartObj>
        <w:docPartGallery w:val="Page Numbers (Bottom of Page)"/>
        <w:docPartUnique/>
      </w:docPartObj>
    </w:sdtPr>
    <w:sdtEndPr>
      <w:rPr>
        <w:noProof/>
      </w:rPr>
    </w:sdtEndPr>
    <w:sdtContent>
      <w:p w14:paraId="0C38A2B2" w14:textId="167D8B15" w:rsidR="00122B33" w:rsidRDefault="00122B33">
        <w:pPr>
          <w:pStyle w:val="Footer"/>
          <w:jc w:val="right"/>
        </w:pPr>
        <w:r>
          <w:fldChar w:fldCharType="begin"/>
        </w:r>
        <w:r>
          <w:instrText xml:space="preserve"> PAGE   \* MERGEFORMAT </w:instrText>
        </w:r>
        <w:r>
          <w:fldChar w:fldCharType="separate"/>
        </w:r>
        <w:r w:rsidR="00780B68">
          <w:rPr>
            <w:noProof/>
          </w:rPr>
          <w:t>6</w:t>
        </w:r>
        <w:r>
          <w:rPr>
            <w:noProof/>
          </w:rPr>
          <w:fldChar w:fldCharType="end"/>
        </w:r>
      </w:p>
    </w:sdtContent>
  </w:sdt>
  <w:p w14:paraId="7A4802C1" w14:textId="77777777" w:rsidR="00122B33" w:rsidRDefault="00122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CB632" w14:textId="77777777" w:rsidR="00122B33" w:rsidRDefault="00122B33" w:rsidP="00122B33">
      <w:pPr>
        <w:spacing w:after="0" w:line="240" w:lineRule="auto"/>
      </w:pPr>
      <w:r>
        <w:separator/>
      </w:r>
    </w:p>
  </w:footnote>
  <w:footnote w:type="continuationSeparator" w:id="0">
    <w:p w14:paraId="2A93DF64" w14:textId="77777777" w:rsidR="00122B33" w:rsidRDefault="00122B33" w:rsidP="00122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536644"/>
      <w:docPartObj>
        <w:docPartGallery w:val="Watermarks"/>
        <w:docPartUnique/>
      </w:docPartObj>
    </w:sdtPr>
    <w:sdtEndPr/>
    <w:sdtContent>
      <w:p w14:paraId="2905F644" w14:textId="3BB6B5AB" w:rsidR="00122B33" w:rsidRDefault="00780B68">
        <w:pPr>
          <w:pStyle w:val="Header"/>
        </w:pPr>
        <w:r>
          <w:rPr>
            <w:noProof/>
          </w:rPr>
          <w:pict w14:anchorId="25A34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195B"/>
    <w:multiLevelType w:val="hybridMultilevel"/>
    <w:tmpl w:val="011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0DAA"/>
    <w:multiLevelType w:val="hybridMultilevel"/>
    <w:tmpl w:val="CBD0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84B2D"/>
    <w:multiLevelType w:val="multilevel"/>
    <w:tmpl w:val="A42EFF5E"/>
    <w:lvl w:ilvl="0">
      <w:start w:val="7"/>
      <w:numFmt w:val="decimal"/>
      <w:lvlText w:val="%1"/>
      <w:lvlJc w:val="left"/>
      <w:pPr>
        <w:ind w:left="432" w:hanging="432"/>
      </w:pPr>
      <w:rPr>
        <w:rFonts w:hint="default"/>
      </w:rPr>
    </w:lvl>
    <w:lvl w:ilvl="1">
      <w:start w:val="1"/>
      <w:numFmt w:val="decimal"/>
      <w:lvlText w:val="%1.3"/>
      <w:lvlJc w:val="left"/>
      <w:pPr>
        <w:ind w:left="576" w:hanging="576"/>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B275381"/>
    <w:multiLevelType w:val="multilevel"/>
    <w:tmpl w:val="E318A6E6"/>
    <w:styleLink w:val="Style6"/>
    <w:lvl w:ilvl="0">
      <w:start w:val="1"/>
      <w:numFmt w:val="none"/>
      <w:lvlText w:val="6"/>
      <w:lvlJc w:val="left"/>
      <w:pPr>
        <w:ind w:left="432" w:hanging="432"/>
      </w:pPr>
      <w:rPr>
        <w:rFonts w:hint="default"/>
      </w:rPr>
    </w:lvl>
    <w:lvl w:ilvl="1">
      <w:start w:val="1"/>
      <w:numFmt w:val="decimal"/>
      <w:lvlText w:val="%16.%2"/>
      <w:lvlJc w:val="left"/>
      <w:pPr>
        <w:ind w:left="576" w:hanging="576"/>
      </w:pPr>
      <w:rPr>
        <w:rFonts w:hint="default"/>
      </w:rPr>
    </w:lvl>
    <w:lvl w:ilvl="2">
      <w:start w:val="1"/>
      <w:numFmt w:val="none"/>
      <w:lvlText w:val="6.2.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31B7638"/>
    <w:multiLevelType w:val="multilevel"/>
    <w:tmpl w:val="2C9CA1C4"/>
    <w:lvl w:ilvl="0">
      <w:start w:val="7"/>
      <w:numFmt w:val="none"/>
      <w:lvlText w:val="6"/>
      <w:lvlJc w:val="left"/>
      <w:pPr>
        <w:ind w:left="480" w:hanging="480"/>
      </w:pPr>
      <w:rPr>
        <w:rFonts w:hint="default"/>
      </w:rPr>
    </w:lvl>
    <w:lvl w:ilvl="1">
      <w:start w:val="2"/>
      <w:numFmt w:val="decimal"/>
      <w:lvlText w:val="6.%2"/>
      <w:lvlJc w:val="left"/>
      <w:pPr>
        <w:ind w:left="480" w:hanging="480"/>
      </w:pPr>
      <w:rPr>
        <w:rFonts w:hint="default"/>
      </w:rPr>
    </w:lvl>
    <w:lvl w:ilvl="2">
      <w:start w:val="3"/>
      <w:numFmt w:val="none"/>
      <w:lvlText w:val="6.2.8"/>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3F6380"/>
    <w:multiLevelType w:val="multilevel"/>
    <w:tmpl w:val="21C2951E"/>
    <w:lvl w:ilvl="0">
      <w:start w:val="7"/>
      <w:numFmt w:val="none"/>
      <w:lvlText w:val="6"/>
      <w:lvlJc w:val="left"/>
      <w:pPr>
        <w:ind w:left="480" w:hanging="480"/>
      </w:pPr>
      <w:rPr>
        <w:rFonts w:hint="default"/>
      </w:rPr>
    </w:lvl>
    <w:lvl w:ilvl="1">
      <w:start w:val="2"/>
      <w:numFmt w:val="decimal"/>
      <w:lvlText w:val="6.%2"/>
      <w:lvlJc w:val="left"/>
      <w:pPr>
        <w:ind w:left="480" w:hanging="480"/>
      </w:pPr>
      <w:rPr>
        <w:rFonts w:hint="default"/>
      </w:rPr>
    </w:lvl>
    <w:lvl w:ilvl="2">
      <w:start w:val="3"/>
      <w:numFmt w:val="none"/>
      <w:lvlText w:val="6.2.7"/>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2718F8"/>
    <w:multiLevelType w:val="hybridMultilevel"/>
    <w:tmpl w:val="469C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C1D14"/>
    <w:multiLevelType w:val="multilevel"/>
    <w:tmpl w:val="DC4CF6B6"/>
    <w:lvl w:ilvl="0">
      <w:start w:val="1"/>
      <w:numFmt w:val="none"/>
      <w:lvlText w:val="6"/>
      <w:lvlJc w:val="left"/>
      <w:pPr>
        <w:ind w:left="432" w:hanging="432"/>
      </w:pPr>
      <w:rPr>
        <w:rFonts w:hint="default"/>
      </w:rPr>
    </w:lvl>
    <w:lvl w:ilvl="1">
      <w:start w:val="1"/>
      <w:numFmt w:val="decimal"/>
      <w:lvlText w:val="%16.%2"/>
      <w:lvlJc w:val="left"/>
      <w:pPr>
        <w:ind w:left="576" w:hanging="576"/>
      </w:pPr>
      <w:rPr>
        <w:rFonts w:hint="default"/>
      </w:rPr>
    </w:lvl>
    <w:lvl w:ilvl="2">
      <w:start w:val="1"/>
      <w:numFmt w:val="decimal"/>
      <w:lvlText w:val="%16.%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B01131B"/>
    <w:multiLevelType w:val="multilevel"/>
    <w:tmpl w:val="34A892FC"/>
    <w:lvl w:ilvl="0">
      <w:start w:val="7"/>
      <w:numFmt w:val="none"/>
      <w:lvlText w:val="6"/>
      <w:lvlJc w:val="left"/>
      <w:pPr>
        <w:ind w:left="480" w:hanging="480"/>
      </w:pPr>
      <w:rPr>
        <w:rFonts w:hint="default"/>
      </w:rPr>
    </w:lvl>
    <w:lvl w:ilvl="1">
      <w:start w:val="2"/>
      <w:numFmt w:val="decimal"/>
      <w:lvlText w:val="6.%2"/>
      <w:lvlJc w:val="left"/>
      <w:pPr>
        <w:ind w:left="480" w:hanging="480"/>
      </w:pPr>
      <w:rPr>
        <w:rFonts w:hint="default"/>
      </w:rPr>
    </w:lvl>
    <w:lvl w:ilvl="2">
      <w:start w:val="3"/>
      <w:numFmt w:val="none"/>
      <w:lvlText w:val="6.2.5"/>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3F5907"/>
    <w:multiLevelType w:val="multilevel"/>
    <w:tmpl w:val="5B344E1C"/>
    <w:lvl w:ilvl="0">
      <w:start w:val="7"/>
      <w:numFmt w:val="none"/>
      <w:lvlText w:val="6"/>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BF50035"/>
    <w:multiLevelType w:val="multilevel"/>
    <w:tmpl w:val="58DA016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CA039DF"/>
    <w:multiLevelType w:val="multilevel"/>
    <w:tmpl w:val="04324334"/>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3.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F8963F6"/>
    <w:multiLevelType w:val="multilevel"/>
    <w:tmpl w:val="5CD6E89E"/>
    <w:lvl w:ilvl="0">
      <w:start w:val="1"/>
      <w:numFmt w:val="none"/>
      <w:lvlText w:val="6"/>
      <w:lvlJc w:val="left"/>
      <w:pPr>
        <w:ind w:left="432" w:hanging="432"/>
      </w:pPr>
      <w:rPr>
        <w:rFonts w:hint="default"/>
      </w:rPr>
    </w:lvl>
    <w:lvl w:ilvl="1">
      <w:start w:val="1"/>
      <w:numFmt w:val="decimal"/>
      <w:lvlText w:val="%16.%2"/>
      <w:lvlJc w:val="left"/>
      <w:pPr>
        <w:ind w:left="576" w:hanging="576"/>
      </w:pPr>
      <w:rPr>
        <w:rFonts w:hint="default"/>
      </w:rPr>
    </w:lvl>
    <w:lvl w:ilvl="2">
      <w:start w:val="1"/>
      <w:numFmt w:val="none"/>
      <w:lvlText w:val="6.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8C3099"/>
    <w:multiLevelType w:val="multilevel"/>
    <w:tmpl w:val="89BA4D44"/>
    <w:lvl w:ilvl="0">
      <w:start w:val="7"/>
      <w:numFmt w:val="none"/>
      <w:lvlText w:val="6"/>
      <w:lvlJc w:val="left"/>
      <w:pPr>
        <w:ind w:left="480" w:hanging="480"/>
      </w:pPr>
      <w:rPr>
        <w:rFonts w:hint="default"/>
      </w:rPr>
    </w:lvl>
    <w:lvl w:ilvl="1">
      <w:start w:val="2"/>
      <w:numFmt w:val="decimal"/>
      <w:lvlText w:val="6.%2"/>
      <w:lvlJc w:val="left"/>
      <w:pPr>
        <w:ind w:left="480" w:hanging="480"/>
      </w:pPr>
      <w:rPr>
        <w:rFonts w:hint="default"/>
      </w:rPr>
    </w:lvl>
    <w:lvl w:ilvl="2">
      <w:start w:val="3"/>
      <w:numFmt w:val="none"/>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977883"/>
    <w:multiLevelType w:val="multilevel"/>
    <w:tmpl w:val="F0C8DEAE"/>
    <w:styleLink w:val="Style1"/>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6C14345"/>
    <w:multiLevelType w:val="multilevel"/>
    <w:tmpl w:val="C19C2492"/>
    <w:lvl w:ilvl="0">
      <w:start w:val="7"/>
      <w:numFmt w:val="decimal"/>
      <w:lvlText w:val="%1"/>
      <w:lvlJc w:val="left"/>
      <w:pPr>
        <w:ind w:left="432" w:hanging="432"/>
      </w:pPr>
      <w:rPr>
        <w:rFonts w:hint="default"/>
      </w:rPr>
    </w:lvl>
    <w:lvl w:ilvl="1">
      <w:start w:val="1"/>
      <w:numFmt w:val="decimal"/>
      <w:lvlText w:val="%1.3"/>
      <w:lvlJc w:val="left"/>
      <w:pPr>
        <w:ind w:left="576" w:hanging="576"/>
      </w:pPr>
      <w:rPr>
        <w:rFonts w:hint="default"/>
      </w:rPr>
    </w:lvl>
    <w:lvl w:ilvl="2">
      <w:start w:val="1"/>
      <w:numFmt w:val="decimal"/>
      <w:lvlText w:val="%1.3.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9D6065D"/>
    <w:multiLevelType w:val="multilevel"/>
    <w:tmpl w:val="EDE2A370"/>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DD43118"/>
    <w:multiLevelType w:val="multilevel"/>
    <w:tmpl w:val="FBB0123A"/>
    <w:lvl w:ilvl="0">
      <w:start w:val="7"/>
      <w:numFmt w:val="none"/>
      <w:lvlText w:val="6"/>
      <w:lvlJc w:val="left"/>
      <w:pPr>
        <w:ind w:left="480" w:hanging="480"/>
      </w:pPr>
      <w:rPr>
        <w:rFonts w:hint="default"/>
      </w:rPr>
    </w:lvl>
    <w:lvl w:ilvl="1">
      <w:start w:val="2"/>
      <w:numFmt w:val="decimal"/>
      <w:lvlText w:val="6.%2"/>
      <w:lvlJc w:val="left"/>
      <w:pPr>
        <w:ind w:left="480" w:hanging="480"/>
      </w:pPr>
      <w:rPr>
        <w:rFonts w:hint="default"/>
      </w:rPr>
    </w:lvl>
    <w:lvl w:ilvl="2">
      <w:start w:val="3"/>
      <w:numFmt w:val="none"/>
      <w:lvlText w:val="6.2.6"/>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B438FE"/>
    <w:multiLevelType w:val="multilevel"/>
    <w:tmpl w:val="7D9894DA"/>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3.6"/>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2BB1FAF"/>
    <w:multiLevelType w:val="hybridMultilevel"/>
    <w:tmpl w:val="61A0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A0B6A"/>
    <w:multiLevelType w:val="multilevel"/>
    <w:tmpl w:val="EB58473A"/>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3.5"/>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B424147"/>
    <w:multiLevelType w:val="hybridMultilevel"/>
    <w:tmpl w:val="2AC6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65E88"/>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1A7170"/>
    <w:multiLevelType w:val="multilevel"/>
    <w:tmpl w:val="2A3EF402"/>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3.7"/>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AFF0C74"/>
    <w:multiLevelType w:val="hybridMultilevel"/>
    <w:tmpl w:val="CEB4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D2328"/>
    <w:multiLevelType w:val="multilevel"/>
    <w:tmpl w:val="EC1A64F8"/>
    <w:lvl w:ilvl="0">
      <w:start w:val="7"/>
      <w:numFmt w:val="none"/>
      <w:lvlText w:val="6"/>
      <w:lvlJc w:val="left"/>
      <w:pPr>
        <w:ind w:left="480" w:hanging="480"/>
      </w:pPr>
      <w:rPr>
        <w:rFonts w:hint="default"/>
      </w:rPr>
    </w:lvl>
    <w:lvl w:ilvl="1">
      <w:start w:val="2"/>
      <w:numFmt w:val="decimal"/>
      <w:lvlText w:val="6.%2"/>
      <w:lvlJc w:val="left"/>
      <w:pPr>
        <w:ind w:left="480" w:hanging="480"/>
      </w:pPr>
      <w:rPr>
        <w:rFonts w:hint="default"/>
      </w:rPr>
    </w:lvl>
    <w:lvl w:ilvl="2">
      <w:start w:val="3"/>
      <w:numFmt w:val="none"/>
      <w:lvlText w:val="6.2.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E13035"/>
    <w:multiLevelType w:val="multilevel"/>
    <w:tmpl w:val="52EEF37C"/>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E003D64"/>
    <w:multiLevelType w:val="hybridMultilevel"/>
    <w:tmpl w:val="A9A6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E4621"/>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835179"/>
    <w:multiLevelType w:val="multilevel"/>
    <w:tmpl w:val="89BA4D44"/>
    <w:lvl w:ilvl="0">
      <w:start w:val="7"/>
      <w:numFmt w:val="none"/>
      <w:lvlText w:val="6"/>
      <w:lvlJc w:val="left"/>
      <w:pPr>
        <w:ind w:left="480" w:hanging="480"/>
      </w:pPr>
      <w:rPr>
        <w:rFonts w:hint="default"/>
      </w:rPr>
    </w:lvl>
    <w:lvl w:ilvl="1">
      <w:start w:val="2"/>
      <w:numFmt w:val="decimal"/>
      <w:lvlText w:val="6.%2"/>
      <w:lvlJc w:val="left"/>
      <w:pPr>
        <w:ind w:left="480" w:hanging="480"/>
      </w:pPr>
      <w:rPr>
        <w:rFonts w:hint="default"/>
      </w:rPr>
    </w:lvl>
    <w:lvl w:ilvl="2">
      <w:start w:val="3"/>
      <w:numFmt w:val="none"/>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327340"/>
    <w:multiLevelType w:val="multilevel"/>
    <w:tmpl w:val="5B344E1C"/>
    <w:styleLink w:val="Style5"/>
    <w:lvl w:ilvl="0">
      <w:start w:val="1"/>
      <w:numFmt w:val="none"/>
      <w:lvlText w:val="6"/>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9A33DD0"/>
    <w:multiLevelType w:val="multilevel"/>
    <w:tmpl w:val="EDE2A370"/>
    <w:styleLink w:val="Style4"/>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1"/>
  </w:num>
  <w:num w:numId="3">
    <w:abstractNumId w:val="24"/>
  </w:num>
  <w:num w:numId="4">
    <w:abstractNumId w:val="27"/>
  </w:num>
  <w:num w:numId="5">
    <w:abstractNumId w:val="14"/>
  </w:num>
  <w:num w:numId="6">
    <w:abstractNumId w:val="22"/>
  </w:num>
  <w:num w:numId="7">
    <w:abstractNumId w:val="28"/>
  </w:num>
  <w:num w:numId="8">
    <w:abstractNumId w:val="16"/>
  </w:num>
  <w:num w:numId="9">
    <w:abstractNumId w:val="31"/>
  </w:num>
  <w:num w:numId="10">
    <w:abstractNumId w:val="9"/>
  </w:num>
  <w:num w:numId="11">
    <w:abstractNumId w:val="10"/>
  </w:num>
  <w:num w:numId="12">
    <w:abstractNumId w:val="2"/>
  </w:num>
  <w:num w:numId="13">
    <w:abstractNumId w:val="15"/>
  </w:num>
  <w:num w:numId="14">
    <w:abstractNumId w:val="11"/>
  </w:num>
  <w:num w:numId="15">
    <w:abstractNumId w:val="26"/>
  </w:num>
  <w:num w:numId="16">
    <w:abstractNumId w:val="20"/>
  </w:num>
  <w:num w:numId="17">
    <w:abstractNumId w:val="23"/>
  </w:num>
  <w:num w:numId="18">
    <w:abstractNumId w:val="18"/>
  </w:num>
  <w:num w:numId="19">
    <w:abstractNumId w:val="19"/>
  </w:num>
  <w:num w:numId="20">
    <w:abstractNumId w:val="21"/>
  </w:num>
  <w:num w:numId="21">
    <w:abstractNumId w:val="0"/>
  </w:num>
  <w:num w:numId="22">
    <w:abstractNumId w:val="29"/>
  </w:num>
  <w:num w:numId="23">
    <w:abstractNumId w:val="30"/>
  </w:num>
  <w:num w:numId="24">
    <w:abstractNumId w:val="7"/>
  </w:num>
  <w:num w:numId="25">
    <w:abstractNumId w:val="12"/>
  </w:num>
  <w:num w:numId="26">
    <w:abstractNumId w:val="13"/>
  </w:num>
  <w:num w:numId="27">
    <w:abstractNumId w:val="3"/>
  </w:num>
  <w:num w:numId="28">
    <w:abstractNumId w:val="25"/>
  </w:num>
  <w:num w:numId="29">
    <w:abstractNumId w:val="8"/>
  </w:num>
  <w:num w:numId="30">
    <w:abstractNumId w:val="17"/>
  </w:num>
  <w:num w:numId="31">
    <w:abstractNumId w:val="5"/>
  </w:num>
  <w:num w:numId="32">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Bare">
    <w15:presenceInfo w15:providerId="AD" w15:userId="S-1-5-21-940136906-1854294159-1541874228-5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se0ewe2av92a6edfpsvaar9d5vawtszwsf9&quot;&gt;Double Bayou&lt;record-ids&gt;&lt;item&gt;26&lt;/item&gt;&lt;/record-ids&gt;&lt;/item&gt;&lt;/Libraries&gt;"/>
  </w:docVars>
  <w:rsids>
    <w:rsidRoot w:val="00982179"/>
    <w:rsid w:val="00000E37"/>
    <w:rsid w:val="00001218"/>
    <w:rsid w:val="00014537"/>
    <w:rsid w:val="000172E2"/>
    <w:rsid w:val="00017A45"/>
    <w:rsid w:val="00023EC3"/>
    <w:rsid w:val="00043F90"/>
    <w:rsid w:val="00046F42"/>
    <w:rsid w:val="000719EE"/>
    <w:rsid w:val="00086522"/>
    <w:rsid w:val="00086FE5"/>
    <w:rsid w:val="000B0354"/>
    <w:rsid w:val="000D3D84"/>
    <w:rsid w:val="000D423C"/>
    <w:rsid w:val="000D4F21"/>
    <w:rsid w:val="000E0777"/>
    <w:rsid w:val="000E3DB3"/>
    <w:rsid w:val="000E4FBC"/>
    <w:rsid w:val="000F67DF"/>
    <w:rsid w:val="00105685"/>
    <w:rsid w:val="001068A3"/>
    <w:rsid w:val="00107FE6"/>
    <w:rsid w:val="001150EB"/>
    <w:rsid w:val="00122B33"/>
    <w:rsid w:val="00134053"/>
    <w:rsid w:val="001343CE"/>
    <w:rsid w:val="001362CB"/>
    <w:rsid w:val="00141865"/>
    <w:rsid w:val="001421BE"/>
    <w:rsid w:val="00143574"/>
    <w:rsid w:val="0014762D"/>
    <w:rsid w:val="00150385"/>
    <w:rsid w:val="00151BE6"/>
    <w:rsid w:val="00153D09"/>
    <w:rsid w:val="0016264A"/>
    <w:rsid w:val="00163662"/>
    <w:rsid w:val="00167296"/>
    <w:rsid w:val="0016741F"/>
    <w:rsid w:val="00167899"/>
    <w:rsid w:val="00175EC8"/>
    <w:rsid w:val="00176857"/>
    <w:rsid w:val="00192B16"/>
    <w:rsid w:val="001A4708"/>
    <w:rsid w:val="001A4B9F"/>
    <w:rsid w:val="001C112A"/>
    <w:rsid w:val="001C39BF"/>
    <w:rsid w:val="001C403E"/>
    <w:rsid w:val="001E364A"/>
    <w:rsid w:val="001F6095"/>
    <w:rsid w:val="00206098"/>
    <w:rsid w:val="00217738"/>
    <w:rsid w:val="0022059F"/>
    <w:rsid w:val="002217E8"/>
    <w:rsid w:val="00222EF6"/>
    <w:rsid w:val="00237F0E"/>
    <w:rsid w:val="002423C9"/>
    <w:rsid w:val="002438DA"/>
    <w:rsid w:val="002472B9"/>
    <w:rsid w:val="00254CCA"/>
    <w:rsid w:val="00261482"/>
    <w:rsid w:val="00266AAA"/>
    <w:rsid w:val="00266EDB"/>
    <w:rsid w:val="002741F4"/>
    <w:rsid w:val="00294FF4"/>
    <w:rsid w:val="002A7666"/>
    <w:rsid w:val="002C4555"/>
    <w:rsid w:val="002C7DAE"/>
    <w:rsid w:val="002E3642"/>
    <w:rsid w:val="002F1976"/>
    <w:rsid w:val="00304CC7"/>
    <w:rsid w:val="003106BC"/>
    <w:rsid w:val="00324A15"/>
    <w:rsid w:val="00333BE1"/>
    <w:rsid w:val="00335FB3"/>
    <w:rsid w:val="00337A5B"/>
    <w:rsid w:val="00344CA5"/>
    <w:rsid w:val="00347F2D"/>
    <w:rsid w:val="00352BFD"/>
    <w:rsid w:val="00355520"/>
    <w:rsid w:val="00361963"/>
    <w:rsid w:val="00366A30"/>
    <w:rsid w:val="00367040"/>
    <w:rsid w:val="0037442D"/>
    <w:rsid w:val="00377F13"/>
    <w:rsid w:val="003814B4"/>
    <w:rsid w:val="0038348E"/>
    <w:rsid w:val="00386EF1"/>
    <w:rsid w:val="0039105B"/>
    <w:rsid w:val="00391D33"/>
    <w:rsid w:val="003A67B2"/>
    <w:rsid w:val="003B3E12"/>
    <w:rsid w:val="003C18EA"/>
    <w:rsid w:val="003F44BE"/>
    <w:rsid w:val="003F7D86"/>
    <w:rsid w:val="00402A0B"/>
    <w:rsid w:val="00433CB1"/>
    <w:rsid w:val="00434BE5"/>
    <w:rsid w:val="0043644D"/>
    <w:rsid w:val="004479D3"/>
    <w:rsid w:val="0045043C"/>
    <w:rsid w:val="0045288E"/>
    <w:rsid w:val="00457D00"/>
    <w:rsid w:val="004645F7"/>
    <w:rsid w:val="0047727B"/>
    <w:rsid w:val="004B0729"/>
    <w:rsid w:val="004B6C01"/>
    <w:rsid w:val="004D2D26"/>
    <w:rsid w:val="004F6AAD"/>
    <w:rsid w:val="004F6C68"/>
    <w:rsid w:val="00500749"/>
    <w:rsid w:val="005044CD"/>
    <w:rsid w:val="005055AB"/>
    <w:rsid w:val="005056F0"/>
    <w:rsid w:val="005060A6"/>
    <w:rsid w:val="00511547"/>
    <w:rsid w:val="005136E5"/>
    <w:rsid w:val="00522B83"/>
    <w:rsid w:val="00530B01"/>
    <w:rsid w:val="00534282"/>
    <w:rsid w:val="00550F2A"/>
    <w:rsid w:val="005521C4"/>
    <w:rsid w:val="0055477D"/>
    <w:rsid w:val="0056670B"/>
    <w:rsid w:val="0057312B"/>
    <w:rsid w:val="00592F52"/>
    <w:rsid w:val="005A175D"/>
    <w:rsid w:val="005B0078"/>
    <w:rsid w:val="005B32DC"/>
    <w:rsid w:val="005B4F05"/>
    <w:rsid w:val="005C093C"/>
    <w:rsid w:val="005C2542"/>
    <w:rsid w:val="005D08B6"/>
    <w:rsid w:val="006034B2"/>
    <w:rsid w:val="00612342"/>
    <w:rsid w:val="00616BCB"/>
    <w:rsid w:val="00621CC3"/>
    <w:rsid w:val="0062260A"/>
    <w:rsid w:val="0062523A"/>
    <w:rsid w:val="00630330"/>
    <w:rsid w:val="006307C0"/>
    <w:rsid w:val="00631D87"/>
    <w:rsid w:val="0063677D"/>
    <w:rsid w:val="00657684"/>
    <w:rsid w:val="00662316"/>
    <w:rsid w:val="00672805"/>
    <w:rsid w:val="006752F8"/>
    <w:rsid w:val="006930D0"/>
    <w:rsid w:val="006A42C9"/>
    <w:rsid w:val="006B150C"/>
    <w:rsid w:val="006B593E"/>
    <w:rsid w:val="006B5E24"/>
    <w:rsid w:val="006C127E"/>
    <w:rsid w:val="006D41C3"/>
    <w:rsid w:val="006E328F"/>
    <w:rsid w:val="006F1449"/>
    <w:rsid w:val="006F51E6"/>
    <w:rsid w:val="00720C7E"/>
    <w:rsid w:val="007216B5"/>
    <w:rsid w:val="00741691"/>
    <w:rsid w:val="00761623"/>
    <w:rsid w:val="007722CE"/>
    <w:rsid w:val="00774710"/>
    <w:rsid w:val="0077693B"/>
    <w:rsid w:val="00780B68"/>
    <w:rsid w:val="0078513C"/>
    <w:rsid w:val="007911D6"/>
    <w:rsid w:val="007C2AAF"/>
    <w:rsid w:val="007D4AD1"/>
    <w:rsid w:val="007D6CF3"/>
    <w:rsid w:val="007E44B3"/>
    <w:rsid w:val="007F1F9F"/>
    <w:rsid w:val="007F5320"/>
    <w:rsid w:val="00811173"/>
    <w:rsid w:val="00817F1E"/>
    <w:rsid w:val="0083453E"/>
    <w:rsid w:val="00843BFD"/>
    <w:rsid w:val="008448EB"/>
    <w:rsid w:val="0084642F"/>
    <w:rsid w:val="008504B2"/>
    <w:rsid w:val="00851515"/>
    <w:rsid w:val="008656C8"/>
    <w:rsid w:val="00883F9A"/>
    <w:rsid w:val="008869FC"/>
    <w:rsid w:val="00890117"/>
    <w:rsid w:val="008D3A99"/>
    <w:rsid w:val="008D5D53"/>
    <w:rsid w:val="008E1E63"/>
    <w:rsid w:val="008E1EB6"/>
    <w:rsid w:val="008E5B2D"/>
    <w:rsid w:val="008F28DE"/>
    <w:rsid w:val="0090704C"/>
    <w:rsid w:val="00912B54"/>
    <w:rsid w:val="00915C68"/>
    <w:rsid w:val="009213A8"/>
    <w:rsid w:val="009351DC"/>
    <w:rsid w:val="009355F1"/>
    <w:rsid w:val="00937581"/>
    <w:rsid w:val="00953793"/>
    <w:rsid w:val="00955E16"/>
    <w:rsid w:val="00973F89"/>
    <w:rsid w:val="00982179"/>
    <w:rsid w:val="00992070"/>
    <w:rsid w:val="009925BC"/>
    <w:rsid w:val="00994AC6"/>
    <w:rsid w:val="00997185"/>
    <w:rsid w:val="0099747F"/>
    <w:rsid w:val="009A3665"/>
    <w:rsid w:val="009A6463"/>
    <w:rsid w:val="009B434D"/>
    <w:rsid w:val="009B60D8"/>
    <w:rsid w:val="009C3D8F"/>
    <w:rsid w:val="009D2C50"/>
    <w:rsid w:val="009E45C7"/>
    <w:rsid w:val="00A07866"/>
    <w:rsid w:val="00A128ED"/>
    <w:rsid w:val="00A12DC7"/>
    <w:rsid w:val="00A30EED"/>
    <w:rsid w:val="00A322FC"/>
    <w:rsid w:val="00A423EF"/>
    <w:rsid w:val="00A556CA"/>
    <w:rsid w:val="00A6011E"/>
    <w:rsid w:val="00A75AE2"/>
    <w:rsid w:val="00A81A6D"/>
    <w:rsid w:val="00AA42CD"/>
    <w:rsid w:val="00AA45BB"/>
    <w:rsid w:val="00AB1A1F"/>
    <w:rsid w:val="00AD7FC9"/>
    <w:rsid w:val="00AE0E56"/>
    <w:rsid w:val="00AF364B"/>
    <w:rsid w:val="00AF6407"/>
    <w:rsid w:val="00AF7CB4"/>
    <w:rsid w:val="00B052FD"/>
    <w:rsid w:val="00B102D1"/>
    <w:rsid w:val="00B17DE8"/>
    <w:rsid w:val="00B73405"/>
    <w:rsid w:val="00B744D1"/>
    <w:rsid w:val="00B83669"/>
    <w:rsid w:val="00B9187E"/>
    <w:rsid w:val="00B93C88"/>
    <w:rsid w:val="00BD7971"/>
    <w:rsid w:val="00C03546"/>
    <w:rsid w:val="00C148D7"/>
    <w:rsid w:val="00C22BFD"/>
    <w:rsid w:val="00C237D4"/>
    <w:rsid w:val="00C23C8F"/>
    <w:rsid w:val="00C24678"/>
    <w:rsid w:val="00C25B4C"/>
    <w:rsid w:val="00C2687A"/>
    <w:rsid w:val="00C36D66"/>
    <w:rsid w:val="00C4716F"/>
    <w:rsid w:val="00C50000"/>
    <w:rsid w:val="00C51CC4"/>
    <w:rsid w:val="00C5550D"/>
    <w:rsid w:val="00C56185"/>
    <w:rsid w:val="00C73B5A"/>
    <w:rsid w:val="00C93F99"/>
    <w:rsid w:val="00CA393E"/>
    <w:rsid w:val="00CA4EDE"/>
    <w:rsid w:val="00CC3F5F"/>
    <w:rsid w:val="00CC5103"/>
    <w:rsid w:val="00CD6643"/>
    <w:rsid w:val="00CF0C95"/>
    <w:rsid w:val="00D03C99"/>
    <w:rsid w:val="00D05D70"/>
    <w:rsid w:val="00D071B1"/>
    <w:rsid w:val="00D10624"/>
    <w:rsid w:val="00D1299D"/>
    <w:rsid w:val="00D1575D"/>
    <w:rsid w:val="00D1711E"/>
    <w:rsid w:val="00D3411B"/>
    <w:rsid w:val="00D41798"/>
    <w:rsid w:val="00D46B3D"/>
    <w:rsid w:val="00D476CE"/>
    <w:rsid w:val="00D5552B"/>
    <w:rsid w:val="00D66418"/>
    <w:rsid w:val="00D756A6"/>
    <w:rsid w:val="00D975B3"/>
    <w:rsid w:val="00D97A3B"/>
    <w:rsid w:val="00DA1276"/>
    <w:rsid w:val="00DA1DE7"/>
    <w:rsid w:val="00DC066C"/>
    <w:rsid w:val="00DC2278"/>
    <w:rsid w:val="00DD36D5"/>
    <w:rsid w:val="00DD3864"/>
    <w:rsid w:val="00DD3B4C"/>
    <w:rsid w:val="00DE2AFA"/>
    <w:rsid w:val="00DE3AE9"/>
    <w:rsid w:val="00DE5601"/>
    <w:rsid w:val="00DE66D4"/>
    <w:rsid w:val="00DE755B"/>
    <w:rsid w:val="00DE7BF6"/>
    <w:rsid w:val="00DF02B6"/>
    <w:rsid w:val="00DF3B80"/>
    <w:rsid w:val="00E15981"/>
    <w:rsid w:val="00E23C7B"/>
    <w:rsid w:val="00E27B53"/>
    <w:rsid w:val="00E40E5E"/>
    <w:rsid w:val="00E42D2A"/>
    <w:rsid w:val="00E44CC1"/>
    <w:rsid w:val="00E55294"/>
    <w:rsid w:val="00E646BC"/>
    <w:rsid w:val="00E700EA"/>
    <w:rsid w:val="00E70E3E"/>
    <w:rsid w:val="00E762BC"/>
    <w:rsid w:val="00E77F17"/>
    <w:rsid w:val="00E95E35"/>
    <w:rsid w:val="00EA749B"/>
    <w:rsid w:val="00EB3D36"/>
    <w:rsid w:val="00EC4D4F"/>
    <w:rsid w:val="00ED065E"/>
    <w:rsid w:val="00ED79E0"/>
    <w:rsid w:val="00ED7F7E"/>
    <w:rsid w:val="00EF7840"/>
    <w:rsid w:val="00F03208"/>
    <w:rsid w:val="00F20469"/>
    <w:rsid w:val="00F2171B"/>
    <w:rsid w:val="00F4744D"/>
    <w:rsid w:val="00F51AB4"/>
    <w:rsid w:val="00F6195A"/>
    <w:rsid w:val="00F7176F"/>
    <w:rsid w:val="00F858C4"/>
    <w:rsid w:val="00F86AE9"/>
    <w:rsid w:val="00F91C7F"/>
    <w:rsid w:val="00FB3C32"/>
    <w:rsid w:val="00FB525B"/>
    <w:rsid w:val="00FB5867"/>
    <w:rsid w:val="00FB6A26"/>
    <w:rsid w:val="00FB6E19"/>
    <w:rsid w:val="00FD0A27"/>
    <w:rsid w:val="00FE5E0B"/>
    <w:rsid w:val="00FE7BBD"/>
    <w:rsid w:val="00FF76F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CF0098"/>
  <w15:chartTrackingRefBased/>
  <w15:docId w15:val="{EFAC9EF8-D0ED-43A6-A67A-C792400A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9A"/>
    <w:rPr>
      <w:rFonts w:ascii="Times New Roman" w:hAnsi="Times New Roman"/>
      <w:color w:val="000000" w:themeColor="text1"/>
      <w:sz w:val="24"/>
    </w:rPr>
  </w:style>
  <w:style w:type="paragraph" w:styleId="Heading1">
    <w:name w:val="heading 1"/>
    <w:basedOn w:val="Normal"/>
    <w:next w:val="Normal"/>
    <w:link w:val="Heading1Char"/>
    <w:uiPriority w:val="9"/>
    <w:qFormat/>
    <w:rsid w:val="00C22BFD"/>
    <w:pPr>
      <w:keepNext/>
      <w:keepLines/>
      <w:numPr>
        <w:numId w:val="8"/>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22BFD"/>
    <w:pPr>
      <w:keepNext/>
      <w:keepLines/>
      <w:numPr>
        <w:ilvl w:val="1"/>
        <w:numId w:val="8"/>
      </w:numPr>
      <w:spacing w:before="40" w:after="0"/>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741691"/>
    <w:pPr>
      <w:keepNext/>
      <w:keepLines/>
      <w:numPr>
        <w:ilvl w:val="2"/>
        <w:numId w:val="8"/>
      </w:numPr>
      <w:spacing w:before="40" w:after="0"/>
      <w:outlineLvl w:val="2"/>
    </w:pPr>
    <w:rPr>
      <w:rFonts w:eastAsiaTheme="majorEastAsia" w:cstheme="majorBidi"/>
      <w:i/>
      <w:color w:val="auto"/>
      <w:szCs w:val="24"/>
    </w:rPr>
  </w:style>
  <w:style w:type="paragraph" w:styleId="Heading4">
    <w:name w:val="heading 4"/>
    <w:basedOn w:val="Normal"/>
    <w:next w:val="Normal"/>
    <w:link w:val="Heading4Char"/>
    <w:uiPriority w:val="9"/>
    <w:semiHidden/>
    <w:unhideWhenUsed/>
    <w:qFormat/>
    <w:rsid w:val="000B0354"/>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0354"/>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0354"/>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B0354"/>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B035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035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BFD"/>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C22BFD"/>
    <w:rPr>
      <w:rFonts w:ascii="Times New Roman" w:eastAsiaTheme="majorEastAsia" w:hAnsi="Times New Roman" w:cstheme="majorBidi"/>
      <w:b/>
      <w:i/>
      <w:color w:val="000000" w:themeColor="text1"/>
      <w:sz w:val="28"/>
      <w:szCs w:val="26"/>
    </w:rPr>
  </w:style>
  <w:style w:type="character" w:customStyle="1" w:styleId="Heading3Char">
    <w:name w:val="Heading 3 Char"/>
    <w:basedOn w:val="DefaultParagraphFont"/>
    <w:link w:val="Heading3"/>
    <w:uiPriority w:val="9"/>
    <w:rsid w:val="00741691"/>
    <w:rPr>
      <w:rFonts w:ascii="Times New Roman" w:eastAsiaTheme="majorEastAsia" w:hAnsi="Times New Roman" w:cstheme="majorBidi"/>
      <w:i/>
      <w:sz w:val="24"/>
      <w:szCs w:val="24"/>
    </w:rPr>
  </w:style>
  <w:style w:type="character" w:styleId="CommentReference">
    <w:name w:val="annotation reference"/>
    <w:basedOn w:val="DefaultParagraphFont"/>
    <w:uiPriority w:val="99"/>
    <w:semiHidden/>
    <w:unhideWhenUsed/>
    <w:rsid w:val="00C2687A"/>
    <w:rPr>
      <w:sz w:val="16"/>
      <w:szCs w:val="16"/>
    </w:rPr>
  </w:style>
  <w:style w:type="paragraph" w:styleId="CommentText">
    <w:name w:val="annotation text"/>
    <w:basedOn w:val="Normal"/>
    <w:link w:val="CommentTextChar"/>
    <w:uiPriority w:val="99"/>
    <w:semiHidden/>
    <w:unhideWhenUsed/>
    <w:rsid w:val="00C2687A"/>
    <w:pPr>
      <w:spacing w:line="240" w:lineRule="auto"/>
    </w:pPr>
    <w:rPr>
      <w:sz w:val="20"/>
      <w:szCs w:val="20"/>
    </w:rPr>
  </w:style>
  <w:style w:type="character" w:customStyle="1" w:styleId="CommentTextChar">
    <w:name w:val="Comment Text Char"/>
    <w:basedOn w:val="DefaultParagraphFont"/>
    <w:link w:val="CommentText"/>
    <w:uiPriority w:val="99"/>
    <w:semiHidden/>
    <w:rsid w:val="00C2687A"/>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687A"/>
    <w:rPr>
      <w:b/>
      <w:bCs/>
    </w:rPr>
  </w:style>
  <w:style w:type="character" w:customStyle="1" w:styleId="CommentSubjectChar">
    <w:name w:val="Comment Subject Char"/>
    <w:basedOn w:val="CommentTextChar"/>
    <w:link w:val="CommentSubject"/>
    <w:uiPriority w:val="99"/>
    <w:semiHidden/>
    <w:rsid w:val="00C2687A"/>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C26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7A"/>
    <w:rPr>
      <w:rFonts w:ascii="Segoe UI" w:hAnsi="Segoe UI" w:cs="Segoe UI"/>
      <w:color w:val="000000" w:themeColor="text1"/>
      <w:sz w:val="18"/>
      <w:szCs w:val="18"/>
    </w:rPr>
  </w:style>
  <w:style w:type="character" w:styleId="Hyperlink">
    <w:name w:val="Hyperlink"/>
    <w:basedOn w:val="DefaultParagraphFont"/>
    <w:uiPriority w:val="99"/>
    <w:unhideWhenUsed/>
    <w:rsid w:val="00134053"/>
    <w:rPr>
      <w:color w:val="0563C1" w:themeColor="hyperlink"/>
      <w:u w:val="single"/>
    </w:rPr>
  </w:style>
  <w:style w:type="paragraph" w:styleId="ListParagraph">
    <w:name w:val="List Paragraph"/>
    <w:basedOn w:val="Normal"/>
    <w:uiPriority w:val="34"/>
    <w:qFormat/>
    <w:rsid w:val="00337A5B"/>
    <w:pPr>
      <w:ind w:left="720"/>
      <w:contextualSpacing/>
    </w:pPr>
  </w:style>
  <w:style w:type="character" w:customStyle="1" w:styleId="Heading4Char">
    <w:name w:val="Heading 4 Char"/>
    <w:basedOn w:val="DefaultParagraphFont"/>
    <w:link w:val="Heading4"/>
    <w:uiPriority w:val="9"/>
    <w:semiHidden/>
    <w:rsid w:val="000B0354"/>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B0354"/>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B035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B035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B03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0354"/>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B0354"/>
    <w:pPr>
      <w:numPr>
        <w:numId w:val="5"/>
      </w:numPr>
    </w:pPr>
  </w:style>
  <w:style w:type="numbering" w:customStyle="1" w:styleId="Style2">
    <w:name w:val="Style2"/>
    <w:uiPriority w:val="99"/>
    <w:rsid w:val="000B0354"/>
    <w:pPr>
      <w:numPr>
        <w:numId w:val="6"/>
      </w:numPr>
    </w:pPr>
  </w:style>
  <w:style w:type="numbering" w:customStyle="1" w:styleId="Style3">
    <w:name w:val="Style3"/>
    <w:uiPriority w:val="99"/>
    <w:rsid w:val="000B0354"/>
    <w:pPr>
      <w:numPr>
        <w:numId w:val="7"/>
      </w:numPr>
    </w:pPr>
  </w:style>
  <w:style w:type="paragraph" w:styleId="Caption">
    <w:name w:val="caption"/>
    <w:basedOn w:val="Normal"/>
    <w:next w:val="Normal"/>
    <w:uiPriority w:val="35"/>
    <w:unhideWhenUsed/>
    <w:qFormat/>
    <w:rsid w:val="005055AB"/>
    <w:pPr>
      <w:spacing w:after="200" w:line="240" w:lineRule="auto"/>
    </w:pPr>
    <w:rPr>
      <w:b/>
      <w:i/>
      <w:iCs/>
      <w:color w:val="auto"/>
      <w:sz w:val="20"/>
      <w:szCs w:val="18"/>
    </w:rPr>
  </w:style>
  <w:style w:type="numbering" w:customStyle="1" w:styleId="Style4">
    <w:name w:val="Style4"/>
    <w:uiPriority w:val="99"/>
    <w:rsid w:val="00FB5867"/>
    <w:pPr>
      <w:numPr>
        <w:numId w:val="9"/>
      </w:numPr>
    </w:pPr>
  </w:style>
  <w:style w:type="paragraph" w:styleId="TOCHeading">
    <w:name w:val="TOC Heading"/>
    <w:basedOn w:val="Heading1"/>
    <w:next w:val="Normal"/>
    <w:uiPriority w:val="39"/>
    <w:unhideWhenUsed/>
    <w:qFormat/>
    <w:rsid w:val="008E5B2D"/>
    <w:pPr>
      <w:numPr>
        <w:numId w:val="0"/>
      </w:numPr>
      <w:outlineLvl w:val="9"/>
    </w:pPr>
    <w:rPr>
      <w:rFonts w:asciiTheme="majorHAnsi" w:hAnsiTheme="majorHAnsi"/>
      <w:b w:val="0"/>
      <w:color w:val="2E74B5" w:themeColor="accent1" w:themeShade="BF"/>
      <w:lang w:eastAsia="en-US"/>
    </w:rPr>
  </w:style>
  <w:style w:type="paragraph" w:styleId="TOC1">
    <w:name w:val="toc 1"/>
    <w:basedOn w:val="Normal"/>
    <w:next w:val="Normal"/>
    <w:autoRedefine/>
    <w:uiPriority w:val="39"/>
    <w:unhideWhenUsed/>
    <w:rsid w:val="008E5B2D"/>
    <w:pPr>
      <w:spacing w:after="100"/>
    </w:pPr>
  </w:style>
  <w:style w:type="paragraph" w:styleId="TOC2">
    <w:name w:val="toc 2"/>
    <w:basedOn w:val="Normal"/>
    <w:next w:val="Normal"/>
    <w:autoRedefine/>
    <w:uiPriority w:val="39"/>
    <w:unhideWhenUsed/>
    <w:rsid w:val="008E5B2D"/>
    <w:pPr>
      <w:spacing w:after="100"/>
      <w:ind w:left="240"/>
    </w:pPr>
  </w:style>
  <w:style w:type="paragraph" w:styleId="TOC3">
    <w:name w:val="toc 3"/>
    <w:basedOn w:val="Normal"/>
    <w:next w:val="Normal"/>
    <w:autoRedefine/>
    <w:uiPriority w:val="39"/>
    <w:unhideWhenUsed/>
    <w:rsid w:val="008E5B2D"/>
    <w:pPr>
      <w:spacing w:after="100"/>
      <w:ind w:left="480"/>
    </w:pPr>
  </w:style>
  <w:style w:type="paragraph" w:styleId="TableofFigures">
    <w:name w:val="table of figures"/>
    <w:basedOn w:val="Normal"/>
    <w:next w:val="Normal"/>
    <w:uiPriority w:val="99"/>
    <w:unhideWhenUsed/>
    <w:rsid w:val="008E5B2D"/>
    <w:pPr>
      <w:spacing w:after="0"/>
    </w:pPr>
  </w:style>
  <w:style w:type="paragraph" w:styleId="Header">
    <w:name w:val="header"/>
    <w:basedOn w:val="Normal"/>
    <w:link w:val="HeaderChar"/>
    <w:uiPriority w:val="99"/>
    <w:unhideWhenUsed/>
    <w:rsid w:val="00122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33"/>
    <w:rPr>
      <w:rFonts w:ascii="Times New Roman" w:hAnsi="Times New Roman"/>
      <w:color w:val="000000" w:themeColor="text1"/>
      <w:sz w:val="24"/>
    </w:rPr>
  </w:style>
  <w:style w:type="paragraph" w:styleId="Footer">
    <w:name w:val="footer"/>
    <w:basedOn w:val="Normal"/>
    <w:link w:val="FooterChar"/>
    <w:uiPriority w:val="99"/>
    <w:unhideWhenUsed/>
    <w:rsid w:val="00122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B33"/>
    <w:rPr>
      <w:rFonts w:ascii="Times New Roman" w:hAnsi="Times New Roman"/>
      <w:color w:val="000000" w:themeColor="text1"/>
      <w:sz w:val="24"/>
    </w:rPr>
  </w:style>
  <w:style w:type="numbering" w:customStyle="1" w:styleId="Style5">
    <w:name w:val="Style5"/>
    <w:uiPriority w:val="99"/>
    <w:rsid w:val="00A07866"/>
    <w:pPr>
      <w:numPr>
        <w:numId w:val="23"/>
      </w:numPr>
    </w:pPr>
  </w:style>
  <w:style w:type="numbering" w:customStyle="1" w:styleId="Style6">
    <w:name w:val="Style6"/>
    <w:uiPriority w:val="99"/>
    <w:rsid w:val="00C24678"/>
    <w:pPr>
      <w:numPr>
        <w:numId w:val="27"/>
      </w:numPr>
    </w:pPr>
  </w:style>
  <w:style w:type="paragraph" w:styleId="NoSpacing">
    <w:name w:val="No Spacing"/>
    <w:uiPriority w:val="1"/>
    <w:qFormat/>
    <w:rsid w:val="00550F2A"/>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04023">
      <w:bodyDiv w:val="1"/>
      <w:marLeft w:val="0"/>
      <w:marRight w:val="0"/>
      <w:marTop w:val="0"/>
      <w:marBottom w:val="0"/>
      <w:divBdr>
        <w:top w:val="none" w:sz="0" w:space="0" w:color="auto"/>
        <w:left w:val="none" w:sz="0" w:space="0" w:color="auto"/>
        <w:bottom w:val="none" w:sz="0" w:space="0" w:color="auto"/>
        <w:right w:val="none" w:sz="0" w:space="0" w:color="auto"/>
      </w:divBdr>
    </w:div>
    <w:div w:id="533689212">
      <w:bodyDiv w:val="1"/>
      <w:marLeft w:val="0"/>
      <w:marRight w:val="0"/>
      <w:marTop w:val="0"/>
      <w:marBottom w:val="0"/>
      <w:divBdr>
        <w:top w:val="none" w:sz="0" w:space="0" w:color="auto"/>
        <w:left w:val="none" w:sz="0" w:space="0" w:color="auto"/>
        <w:bottom w:val="none" w:sz="0" w:space="0" w:color="auto"/>
        <w:right w:val="none" w:sz="0" w:space="0" w:color="auto"/>
      </w:divBdr>
    </w:div>
    <w:div w:id="8228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64DEE-9EC8-4B6C-A4EB-8B328CEA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Houston Advanced Research Center</Company>
  <LinksUpToDate>false</LinksUpToDate>
  <CharactersWithSpaces>26135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Bare</dc:creator>
  <cp:keywords/>
  <dc:description/>
  <cp:lastModifiedBy>Stephanie Glenn</cp:lastModifiedBy>
  <cp:revision>20</cp:revision>
  <cp:lastPrinted>2015-06-17T18:05:00Z</cp:lastPrinted>
  <dcterms:created xsi:type="dcterms:W3CDTF">2015-07-23T16:53:00Z</dcterms:created>
  <dcterms:modified xsi:type="dcterms:W3CDTF">2015-08-12T15:35:00Z</dcterms:modified>
</cp:coreProperties>
</file>