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6D284" w14:textId="2370A3F3" w:rsidR="00911B92" w:rsidRPr="004801EA" w:rsidRDefault="00AD610F" w:rsidP="00ED6ADB">
      <w:pPr>
        <w:pStyle w:val="Heading1"/>
        <w:numPr>
          <w:ilvl w:val="0"/>
          <w:numId w:val="7"/>
        </w:numPr>
      </w:pPr>
      <w:bookmarkStart w:id="0" w:name="_Toc424194270"/>
      <w:r>
        <w:t>Water</w:t>
      </w:r>
      <w:r w:rsidR="00911B92">
        <w:t xml:space="preserve"> </w:t>
      </w:r>
      <w:r w:rsidR="004801EA" w:rsidRPr="004801EA">
        <w:t>Quality</w:t>
      </w:r>
      <w:bookmarkEnd w:id="0"/>
    </w:p>
    <w:p w14:paraId="680C41E9" w14:textId="6AD1462A" w:rsidR="00AF248B" w:rsidRDefault="00911B92" w:rsidP="00AD610F">
      <w:pPr>
        <w:pStyle w:val="Heading2"/>
      </w:pPr>
      <w:bookmarkStart w:id="1" w:name="_Toc424194271"/>
      <w:r>
        <w:t>Water Quality Sampling</w:t>
      </w:r>
      <w:bookmarkEnd w:id="1"/>
    </w:p>
    <w:p w14:paraId="75566862" w14:textId="4B0A9C97" w:rsidR="00C22DBC" w:rsidRDefault="00EE568E" w:rsidP="00A87302">
      <w:r>
        <w:t>P</w:t>
      </w:r>
      <w:r w:rsidR="00DD625F" w:rsidRPr="00DD625F">
        <w:t xml:space="preserve">hysical and chemical water quality sampling </w:t>
      </w:r>
      <w:r>
        <w:t xml:space="preserve">was conducted </w:t>
      </w:r>
      <w:r w:rsidR="00DD625F" w:rsidRPr="00DD625F">
        <w:t xml:space="preserve">to assess the water quality impairments and current conditions of the Double Bayou watershed. </w:t>
      </w:r>
      <w:r>
        <w:t>All water quality sampling was conducted under an approved Quality Assurance Project Plan (QAPP). Through a process of stakeholder input and scouting for safety/feasibility of sampling, a</w:t>
      </w:r>
      <w:r w:rsidR="00C835C7">
        <w:t xml:space="preserve"> total of five sampling stations were identified; f</w:t>
      </w:r>
      <w:r w:rsidR="00DD625F" w:rsidRPr="00DD625F">
        <w:t>our mainstem sampling sites</w:t>
      </w:r>
      <w:r w:rsidR="00DD625F">
        <w:t xml:space="preserve"> </w:t>
      </w:r>
      <w:r w:rsidR="00DD625F" w:rsidRPr="00DD625F">
        <w:t>and</w:t>
      </w:r>
      <w:r w:rsidR="005042D4">
        <w:t xml:space="preserve"> one wastewater treatment f</w:t>
      </w:r>
      <w:r w:rsidR="00DD625F">
        <w:t xml:space="preserve">acility </w:t>
      </w:r>
      <w:r w:rsidR="00DD625F" w:rsidRPr="00DD625F">
        <w:t>sampling site</w:t>
      </w:r>
      <w:r w:rsidR="004461CE">
        <w:t xml:space="preserve"> (</w:t>
      </w:r>
      <w:r w:rsidR="004461CE">
        <w:fldChar w:fldCharType="begin"/>
      </w:r>
      <w:r w:rsidR="004461CE">
        <w:instrText xml:space="preserve"> REF _Ref426376378 \h </w:instrText>
      </w:r>
      <w:r w:rsidR="004461CE">
        <w:fldChar w:fldCharType="separate"/>
      </w:r>
      <w:r w:rsidR="00FC1619">
        <w:t>Figure 4-</w:t>
      </w:r>
      <w:r w:rsidR="00FC1619">
        <w:rPr>
          <w:noProof/>
        </w:rPr>
        <w:t>1</w:t>
      </w:r>
      <w:r w:rsidR="00FC1619" w:rsidRPr="004461CE">
        <w:t xml:space="preserve"> </w:t>
      </w:r>
      <w:r w:rsidR="00FC1619">
        <w:t>USGS sampling station</w:t>
      </w:r>
      <w:r w:rsidR="004461CE">
        <w:fldChar w:fldCharType="end"/>
      </w:r>
      <w:r w:rsidR="004461CE">
        <w:t>)</w:t>
      </w:r>
      <w:r w:rsidR="00716CCF">
        <w:t xml:space="preserve">. </w:t>
      </w:r>
      <w:r w:rsidR="00DD625F" w:rsidRPr="00DD625F">
        <w:t>The</w:t>
      </w:r>
      <w:r>
        <w:t>re are</w:t>
      </w:r>
      <w:r w:rsidR="00DD625F" w:rsidRPr="00DD625F">
        <w:t xml:space="preserve"> two </w:t>
      </w:r>
      <w:r w:rsidR="00DD625F">
        <w:t xml:space="preserve">sampling </w:t>
      </w:r>
      <w:r w:rsidR="009B0426">
        <w:t>sites</w:t>
      </w:r>
      <w:r w:rsidR="00DD625F">
        <w:t xml:space="preserve"> </w:t>
      </w:r>
      <w:r w:rsidR="00DD625F" w:rsidRPr="00DD625F">
        <w:t>on the East Fork</w:t>
      </w:r>
      <w:r>
        <w:t>:</w:t>
      </w:r>
      <w:r w:rsidR="00AA6A0E">
        <w:t xml:space="preserve"> </w:t>
      </w:r>
      <w:r w:rsidR="00DD625F">
        <w:t xml:space="preserve">the </w:t>
      </w:r>
      <w:r w:rsidR="00DD625F" w:rsidRPr="00DD625F">
        <w:t>East Fork Upper (EFU 08042546)</w:t>
      </w:r>
      <w:r w:rsidR="00DD625F">
        <w:t xml:space="preserve"> and </w:t>
      </w:r>
      <w:r w:rsidR="00DD625F" w:rsidRPr="00DD625F">
        <w:t>East Fork Lower (EFL 08042548)</w:t>
      </w:r>
      <w:r w:rsidR="00815C5C">
        <w:t>. T</w:t>
      </w:r>
      <w:r w:rsidR="00AA6A0E">
        <w:t>hese</w:t>
      </w:r>
      <w:r>
        <w:t xml:space="preserve"> stations </w:t>
      </w:r>
      <w:r w:rsidR="00C22DBC">
        <w:t>ar</w:t>
      </w:r>
      <w:r w:rsidR="00F03B4B">
        <w:t>e located at FM 1663 (EFU</w:t>
      </w:r>
      <w:r w:rsidR="00C22DBC">
        <w:t>) and at Carrington R</w:t>
      </w:r>
      <w:r w:rsidR="005042D4">
        <w:t>oa</w:t>
      </w:r>
      <w:r w:rsidR="00F03B4B">
        <w:t>d (EFL)</w:t>
      </w:r>
      <w:r>
        <w:t>, respectively</w:t>
      </w:r>
      <w:r w:rsidR="00F03B4B">
        <w:t xml:space="preserve">. </w:t>
      </w:r>
      <w:r w:rsidR="00DD625F" w:rsidRPr="00DD625F">
        <w:t>The</w:t>
      </w:r>
      <w:r>
        <w:t>re are</w:t>
      </w:r>
      <w:r w:rsidR="00DD625F" w:rsidRPr="00DD625F">
        <w:t xml:space="preserve"> two West Fork </w:t>
      </w:r>
      <w:r w:rsidR="00DD625F">
        <w:t xml:space="preserve">sampling </w:t>
      </w:r>
      <w:r w:rsidR="009B0426">
        <w:t>sites</w:t>
      </w:r>
      <w:r>
        <w:t>:</w:t>
      </w:r>
      <w:r w:rsidR="00AA6A0E">
        <w:t xml:space="preserve"> </w:t>
      </w:r>
      <w:r w:rsidR="00DD625F">
        <w:t xml:space="preserve">the </w:t>
      </w:r>
      <w:r w:rsidR="00DD625F" w:rsidRPr="00DD625F">
        <w:t>West Fork Upper (WFU 08042554) and West For</w:t>
      </w:r>
      <w:bookmarkStart w:id="2" w:name="_GoBack"/>
      <w:bookmarkEnd w:id="2"/>
      <w:r w:rsidR="00DD625F" w:rsidRPr="00DD625F">
        <w:t>k Lower (WFL 08042558)</w:t>
      </w:r>
      <w:r>
        <w:t>. These</w:t>
      </w:r>
      <w:r w:rsidR="00DD625F">
        <w:t xml:space="preserve"> stations</w:t>
      </w:r>
      <w:r w:rsidR="005042D4">
        <w:t xml:space="preserve"> </w:t>
      </w:r>
      <w:r>
        <w:t xml:space="preserve">are </w:t>
      </w:r>
      <w:r w:rsidR="005042D4">
        <w:t>located at Sykes Road (WFU) and Eagle Ferry Road (WFL)</w:t>
      </w:r>
      <w:r>
        <w:t>, respectively</w:t>
      </w:r>
      <w:r w:rsidR="00DD625F" w:rsidRPr="00DD625F">
        <w:t xml:space="preserve">. The </w:t>
      </w:r>
      <w:r w:rsidR="005042D4">
        <w:t>wastewater t</w:t>
      </w:r>
      <w:r w:rsidR="00DD625F" w:rsidRPr="00DD625F">
        <w:t xml:space="preserve">reatment </w:t>
      </w:r>
      <w:r w:rsidR="005042D4">
        <w:t>f</w:t>
      </w:r>
      <w:r w:rsidR="00DD625F">
        <w:t>acility (WWTF</w:t>
      </w:r>
      <w:r w:rsidR="00DD625F" w:rsidRPr="00DD625F">
        <w:t xml:space="preserve"> 294443094401100) sampling station was incorporated into the sampling design to characterize a possible point source contribution </w:t>
      </w:r>
      <w:r w:rsidR="00DD625F">
        <w:t>in the watershed by analyzing the water quality of the effluent discharge of the WWTF</w:t>
      </w:r>
      <w:r w:rsidR="00F20C86">
        <w:t xml:space="preserve"> (</w:t>
      </w:r>
      <w:r w:rsidR="00A87302">
        <w:fldChar w:fldCharType="begin"/>
      </w:r>
      <w:r w:rsidR="00A87302">
        <w:instrText xml:space="preserve"> REF _Ref426376977 \h </w:instrText>
      </w:r>
      <w:r w:rsidR="00A87302">
        <w:fldChar w:fldCharType="separate"/>
      </w:r>
      <w:r w:rsidR="00FC1619">
        <w:t>Figure 4-</w:t>
      </w:r>
      <w:r w:rsidR="00FC1619">
        <w:rPr>
          <w:noProof/>
        </w:rPr>
        <w:t>2</w:t>
      </w:r>
      <w:r w:rsidR="00FC1619">
        <w:t xml:space="preserve"> </w:t>
      </w:r>
      <w:r w:rsidR="00FC1619">
        <w:rPr>
          <w:noProof/>
        </w:rPr>
        <w:t>Double</w:t>
      </w:r>
      <w:r w:rsidR="00FC1619">
        <w:t xml:space="preserve"> Bayou sampling stations</w:t>
      </w:r>
      <w:r w:rsidR="00A87302">
        <w:fldChar w:fldCharType="end"/>
      </w:r>
      <w:r w:rsidR="00F20C86">
        <w:t>)</w:t>
      </w:r>
      <w:r w:rsidR="009C7292">
        <w:t>.</w:t>
      </w:r>
    </w:p>
    <w:p w14:paraId="2CAF58DE" w14:textId="77777777" w:rsidR="004461CE" w:rsidRDefault="00BC0553" w:rsidP="004461CE">
      <w:pPr>
        <w:keepNext/>
        <w:jc w:val="center"/>
      </w:pPr>
      <w:r w:rsidRPr="00BC0553">
        <w:rPr>
          <w:noProof/>
        </w:rPr>
        <w:drawing>
          <wp:inline distT="0" distB="0" distL="0" distR="0" wp14:anchorId="0760AECC" wp14:editId="398BC935">
            <wp:extent cx="4572000" cy="3282696"/>
            <wp:effectExtent l="114300" t="57150" r="57150" b="108585"/>
            <wp:docPr id="3" name="Picture 3" descr="C:\Users\rbare\AppData\Local\Temp\DSCN03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bare\AppData\Local\Temp\DSCN0328.JPG"/>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r="11038" b="11882"/>
                    <a:stretch/>
                  </pic:blipFill>
                  <pic:spPr bwMode="auto">
                    <a:xfrm>
                      <a:off x="0" y="0"/>
                      <a:ext cx="4572000" cy="3282696"/>
                    </a:xfrm>
                    <a:prstGeom prst="rect">
                      <a:avLst/>
                    </a:prstGeom>
                    <a:noFill/>
                    <a:ln w="12700">
                      <a:solidFill>
                        <a:schemeClr val="bg2">
                          <a:lumMod val="25000"/>
                        </a:schemeClr>
                      </a:solid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F10F25" w14:textId="2E82965F" w:rsidR="004461CE" w:rsidRDefault="004461CE" w:rsidP="004461CE">
      <w:pPr>
        <w:pStyle w:val="Caption"/>
      </w:pPr>
      <w:bookmarkStart w:id="3" w:name="_Ref426376378"/>
      <w:r>
        <w:t>Figure 4-</w:t>
      </w:r>
      <w:r w:rsidR="00FC1619">
        <w:fldChar w:fldCharType="begin"/>
      </w:r>
      <w:r w:rsidR="00FC1619">
        <w:instrText xml:space="preserve"> SEQ Figure_4- \* ARABIC </w:instrText>
      </w:r>
      <w:r w:rsidR="00FC1619">
        <w:fldChar w:fldCharType="separate"/>
      </w:r>
      <w:r w:rsidR="00FC1619">
        <w:rPr>
          <w:noProof/>
        </w:rPr>
        <w:t>1</w:t>
      </w:r>
      <w:r w:rsidR="00FC1619">
        <w:rPr>
          <w:noProof/>
        </w:rPr>
        <w:fldChar w:fldCharType="end"/>
      </w:r>
      <w:r w:rsidRPr="004461CE">
        <w:t xml:space="preserve"> </w:t>
      </w:r>
      <w:r>
        <w:t>USGS sampling station</w:t>
      </w:r>
      <w:bookmarkEnd w:id="3"/>
    </w:p>
    <w:p w14:paraId="40DD2AD0" w14:textId="63D4FBDB" w:rsidR="00BC0553" w:rsidRDefault="00EE568E" w:rsidP="00A05E41">
      <w:pPr>
        <w:keepNext/>
      </w:pPr>
      <w:r>
        <w:t>Water quality sampling was conducted under “routine” conditions; that is, these were scheduled events to monitor st</w:t>
      </w:r>
      <w:r w:rsidR="00006DE4">
        <w:t>andard ambient conditions.</w:t>
      </w:r>
      <w:r>
        <w:t xml:space="preserve"> Water quality sampling was also conducted under “targeted” conditions; that is, these were targeted rain events to monitor impact</w:t>
      </w:r>
      <w:r w:rsidR="00006DE4">
        <w:t xml:space="preserve"> of rainfall on water quality. </w:t>
      </w:r>
      <w:r w:rsidR="00BC0553" w:rsidRPr="00C22DBC">
        <w:t>The routine samples were collected appr</w:t>
      </w:r>
      <w:r w:rsidR="00BC0553">
        <w:t>oximately twice a month over a 19</w:t>
      </w:r>
      <w:r w:rsidR="00BC0553" w:rsidRPr="00C22DBC">
        <w:t xml:space="preserve"> mont</w:t>
      </w:r>
      <w:r w:rsidR="00BC0553">
        <w:t>h sampling period (10/22/2013-05/20</w:t>
      </w:r>
      <w:r w:rsidR="00BC0553" w:rsidRPr="00C22DBC">
        <w:t xml:space="preserve">/2015) </w:t>
      </w:r>
      <w:r w:rsidR="00BC0553" w:rsidRPr="00D62897">
        <w:t>while</w:t>
      </w:r>
      <w:r w:rsidR="00BC0553" w:rsidRPr="00C22DBC">
        <w:t xml:space="preserve"> targeted samples were dependent on rainfall </w:t>
      </w:r>
      <w:r w:rsidR="00BC0553" w:rsidRPr="00C22DBC">
        <w:lastRenderedPageBreak/>
        <w:t xml:space="preserve">events. </w:t>
      </w:r>
      <w:r w:rsidR="00BC0553">
        <w:rPr>
          <w:color w:val="auto"/>
        </w:rPr>
        <w:t>37 to 38 water quality samples were collected at each of the five sampling stations</w:t>
      </w:r>
      <w:r>
        <w:rPr>
          <w:color w:val="auto"/>
        </w:rPr>
        <w:t>,</w:t>
      </w:r>
      <w:r w:rsidR="00BC0553">
        <w:rPr>
          <w:color w:val="auto"/>
        </w:rPr>
        <w:t xml:space="preserve"> </w:t>
      </w:r>
      <w:r>
        <w:rPr>
          <w:color w:val="auto"/>
        </w:rPr>
        <w:t>r</w:t>
      </w:r>
      <w:r w:rsidR="00BC0553">
        <w:rPr>
          <w:color w:val="auto"/>
        </w:rPr>
        <w:t>esulting in a total of 154 routine samples during 30 to 31 sampling events and 35 targeted samples during 7 wet weather sampling events. 38 and 37 samples were collected at the EFU and WWTF stations, respectively</w:t>
      </w:r>
      <w:r>
        <w:rPr>
          <w:color w:val="auto"/>
        </w:rPr>
        <w:t>,</w:t>
      </w:r>
      <w:r w:rsidR="00AA6A0E">
        <w:rPr>
          <w:color w:val="auto"/>
        </w:rPr>
        <w:t xml:space="preserve"> </w:t>
      </w:r>
      <w:r>
        <w:rPr>
          <w:color w:val="auto"/>
        </w:rPr>
        <w:t>w</w:t>
      </w:r>
      <w:r w:rsidR="00BC0553">
        <w:rPr>
          <w:color w:val="auto"/>
        </w:rPr>
        <w:t>hile 113 samples were collected at the tidal</w:t>
      </w:r>
      <w:r>
        <w:rPr>
          <w:color w:val="auto"/>
        </w:rPr>
        <w:t>ly influenced</w:t>
      </w:r>
      <w:r w:rsidR="00BC0553">
        <w:rPr>
          <w:color w:val="auto"/>
        </w:rPr>
        <w:t xml:space="preserve"> stations EFL (38 samples), WFU (38 samples) and WFL (37 samples).</w:t>
      </w:r>
      <w:r w:rsidR="00BC0553">
        <w:t xml:space="preserve"> </w:t>
      </w:r>
      <w:r w:rsidR="00BC0553" w:rsidRPr="00C22DBC">
        <w:t>All water quality samples analyzed or o</w:t>
      </w:r>
      <w:r w:rsidR="00BC0553">
        <w:t>therwise included in this WPP</w:t>
      </w:r>
      <w:r w:rsidR="00BC0553" w:rsidRPr="00C22DBC">
        <w:t xml:space="preserve"> are surface water samples collected at 0.3 meters in depth.</w:t>
      </w:r>
      <w:r w:rsidR="00D00F7B">
        <w:rPr>
          <w:noProof/>
        </w:rPr>
        <mc:AlternateContent>
          <mc:Choice Requires="wps">
            <w:drawing>
              <wp:anchor distT="0" distB="0" distL="114300" distR="114300" simplePos="0" relativeHeight="251669504" behindDoc="0" locked="0" layoutInCell="1" allowOverlap="1" wp14:anchorId="7CCEEFC0" wp14:editId="1E29D407">
                <wp:simplePos x="0" y="0"/>
                <wp:positionH relativeFrom="column">
                  <wp:posOffset>828040</wp:posOffset>
                </wp:positionH>
                <wp:positionV relativeFrom="paragraph">
                  <wp:posOffset>5763260</wp:posOffset>
                </wp:positionV>
                <wp:extent cx="4288155"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288155" cy="635"/>
                        </a:xfrm>
                        <a:prstGeom prst="rect">
                          <a:avLst/>
                        </a:prstGeom>
                        <a:solidFill>
                          <a:prstClr val="white"/>
                        </a:solidFill>
                        <a:ln>
                          <a:noFill/>
                        </a:ln>
                        <a:effectLst/>
                      </wps:spPr>
                      <wps:txbx>
                        <w:txbxContent>
                          <w:p w14:paraId="3CF6D1A2" w14:textId="103753F1" w:rsidR="00D00F7B" w:rsidRPr="00906034" w:rsidRDefault="00D00F7B" w:rsidP="00D00F7B">
                            <w:pPr>
                              <w:pStyle w:val="Caption"/>
                              <w:rPr>
                                <w:color w:val="000000" w:themeColor="text1"/>
                                <w:sz w:val="16"/>
                                <w:szCs w:val="16"/>
                              </w:rPr>
                            </w:pPr>
                            <w:bookmarkStart w:id="4" w:name="_Ref426376977"/>
                            <w:r>
                              <w:t>Figure 4-</w:t>
                            </w:r>
                            <w:r w:rsidR="00FC1619">
                              <w:fldChar w:fldCharType="begin"/>
                            </w:r>
                            <w:r w:rsidR="00FC1619">
                              <w:instrText xml:space="preserve"> SEQ Figure_4- \* ARABIC </w:instrText>
                            </w:r>
                            <w:r w:rsidR="00FC1619">
                              <w:fldChar w:fldCharType="separate"/>
                            </w:r>
                            <w:r w:rsidR="00FC1619">
                              <w:rPr>
                                <w:noProof/>
                              </w:rPr>
                              <w:t>2</w:t>
                            </w:r>
                            <w:r w:rsidR="00FC1619">
                              <w:rPr>
                                <w:noProof/>
                              </w:rPr>
                              <w:fldChar w:fldCharType="end"/>
                            </w:r>
                            <w:r>
                              <w:t xml:space="preserve"> </w:t>
                            </w:r>
                            <w:r>
                              <w:rPr>
                                <w:noProof/>
                              </w:rPr>
                              <w:t>Double</w:t>
                            </w:r>
                            <w:r>
                              <w:t xml:space="preserve"> Bayou sampling stations</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CEEFC0" id="_x0000_t202" coordsize="21600,21600" o:spt="202" path="m,l,21600r21600,l21600,xe">
                <v:stroke joinstyle="miter"/>
                <v:path gradientshapeok="t" o:connecttype="rect"/>
              </v:shapetype>
              <v:shape id="Text Box 1" o:spid="_x0000_s1026" type="#_x0000_t202" style="position:absolute;margin-left:65.2pt;margin-top:453.8pt;width:337.6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" stroked="f">
                <v:textbox style="mso-fit-shape-to-text:t" inset="0,0,0,0">
                  <w:txbxContent>
                    <w:p w14:paraId="3CF6D1A2" w14:textId="103753F1" w:rsidR="00D00F7B" w:rsidRPr="00906034" w:rsidRDefault="00D00F7B" w:rsidP="00D00F7B">
                      <w:pPr>
                        <w:pStyle w:val="Caption"/>
                        <w:rPr>
                          <w:color w:val="000000" w:themeColor="text1"/>
                          <w:sz w:val="16"/>
                          <w:szCs w:val="16"/>
                        </w:rPr>
                      </w:pPr>
                      <w:bookmarkStart w:id="5" w:name="_Ref426376977"/>
                      <w:r>
                        <w:t>Figure 4-</w:t>
                      </w:r>
                      <w:r w:rsidR="00FC1619">
                        <w:fldChar w:fldCharType="begin"/>
                      </w:r>
                      <w:r w:rsidR="00FC1619">
                        <w:instrText xml:space="preserve"> SEQ Figure_4- \* ARABIC </w:instrText>
                      </w:r>
                      <w:r w:rsidR="00FC1619">
                        <w:fldChar w:fldCharType="separate"/>
                      </w:r>
                      <w:r w:rsidR="00FC1619">
                        <w:rPr>
                          <w:noProof/>
                        </w:rPr>
                        <w:t>2</w:t>
                      </w:r>
                      <w:r w:rsidR="00FC1619">
                        <w:rPr>
                          <w:noProof/>
                        </w:rPr>
                        <w:fldChar w:fldCharType="end"/>
                      </w:r>
                      <w:r>
                        <w:t xml:space="preserve"> </w:t>
                      </w:r>
                      <w:r>
                        <w:rPr>
                          <w:noProof/>
                        </w:rPr>
                        <w:t>Double</w:t>
                      </w:r>
                      <w:r>
                        <w:t xml:space="preserve"> Bayou sampling stations</w:t>
                      </w:r>
                      <w:bookmarkEnd w:id="5"/>
                    </w:p>
                  </w:txbxContent>
                </v:textbox>
                <w10:wrap type="topAndBottom"/>
              </v:shape>
            </w:pict>
          </mc:Fallback>
        </mc:AlternateContent>
      </w:r>
      <w:r w:rsidR="00BC0553">
        <w:rPr>
          <w:noProof/>
        </w:rPr>
        <w:drawing>
          <wp:anchor distT="0" distB="0" distL="114300" distR="114300" simplePos="0" relativeHeight="251658240" behindDoc="0" locked="0" layoutInCell="1" allowOverlap="1" wp14:anchorId="635479AC" wp14:editId="339B3048">
            <wp:simplePos x="0" y="0"/>
            <wp:positionH relativeFrom="margin">
              <wp:align>center</wp:align>
            </wp:positionH>
            <wp:positionV relativeFrom="paragraph">
              <wp:posOffset>256540</wp:posOffset>
            </wp:positionV>
            <wp:extent cx="4288155" cy="5449570"/>
            <wp:effectExtent l="0" t="0" r="0" b="0"/>
            <wp:wrapTopAndBottom/>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samplingstationsmap.png"/>
                    <pic:cNvPicPr/>
                  </pic:nvPicPr>
                  <pic:blipFill rotWithShape="1">
                    <a:blip r:embed="rId9" cstate="print">
                      <a:extLst>
                        <a:ext uri="{28A0092B-C50C-407E-A947-70E740481C1C}">
                          <a14:useLocalDpi xmlns:a14="http://schemas.microsoft.com/office/drawing/2010/main" val="0"/>
                        </a:ext>
                      </a:extLst>
                    </a:blip>
                    <a:srcRect b="6505"/>
                    <a:stretch/>
                  </pic:blipFill>
                  <pic:spPr bwMode="auto">
                    <a:xfrm>
                      <a:off x="0" y="0"/>
                      <a:ext cx="4288155" cy="544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1AE2C0" w14:textId="01AF613E" w:rsidR="00B37B27" w:rsidRDefault="00D95B60" w:rsidP="00006DE4">
      <w:r w:rsidRPr="00C22DBC">
        <w:t>Targeted flow monitoring attempts to capture peak discharge from rainfall events</w:t>
      </w:r>
      <w:r w:rsidR="005D5E6B">
        <w:t xml:space="preserve"> which</w:t>
      </w:r>
      <w:r>
        <w:t xml:space="preserve"> can be used to </w:t>
      </w:r>
      <w:r w:rsidR="00F238B7">
        <w:t>analyze</w:t>
      </w:r>
      <w:r w:rsidRPr="00D62897">
        <w:t xml:space="preserve"> water quality in the bayous during a wet weather event</w:t>
      </w:r>
      <w:r w:rsidR="00F20C86">
        <w:t xml:space="preserve"> (</w:t>
      </w:r>
      <w:r w:rsidR="009867B6">
        <w:fldChar w:fldCharType="begin"/>
      </w:r>
      <w:r w:rsidR="009867B6">
        <w:instrText xml:space="preserve"> REF _Ref424200220 \h </w:instrText>
      </w:r>
      <w:r w:rsidR="009867B6">
        <w:fldChar w:fldCharType="separate"/>
      </w:r>
      <w:r w:rsidR="00FC1619">
        <w:t>Table 4-</w:t>
      </w:r>
      <w:r w:rsidR="00FC1619">
        <w:rPr>
          <w:noProof/>
        </w:rPr>
        <w:t>1</w:t>
      </w:r>
      <w:r w:rsidR="00FC1619">
        <w:t xml:space="preserve"> </w:t>
      </w:r>
      <w:r w:rsidR="00FC1619" w:rsidRPr="009C7292">
        <w:t>Targeted sampling dates</w:t>
      </w:r>
      <w:r w:rsidR="009867B6">
        <w:fldChar w:fldCharType="end"/>
      </w:r>
      <w:r w:rsidR="009867B6">
        <w:t>)</w:t>
      </w:r>
      <w:r w:rsidR="005D5E6B">
        <w:t>.</w:t>
      </w:r>
      <w:r w:rsidRPr="00D62897">
        <w:t xml:space="preserve"> </w:t>
      </w:r>
      <w:r w:rsidR="005D5E6B">
        <w:t xml:space="preserve">This analysis provides insight on how </w:t>
      </w:r>
      <w:r w:rsidRPr="00D62897">
        <w:t>the in</w:t>
      </w:r>
      <w:r w:rsidR="00F36226">
        <w:t>creased nonpoint source runoff a</w:t>
      </w:r>
      <w:r w:rsidRPr="00D62897">
        <w:t>ffects the bayous</w:t>
      </w:r>
      <w:r w:rsidR="005D5E6B">
        <w:t xml:space="preserve"> during rain events</w:t>
      </w:r>
      <w:r>
        <w:t xml:space="preserve">. </w:t>
      </w:r>
      <w:r w:rsidRPr="00C22DBC">
        <w:t xml:space="preserve">These samples often show the “worst-case” scenario for water quality indicators such as bacteria. The targeted samples should not be considered </w:t>
      </w:r>
      <w:r w:rsidRPr="00C22DBC">
        <w:lastRenderedPageBreak/>
        <w:t xml:space="preserve">representative of the bayous water quality during normal flow patterns. </w:t>
      </w:r>
      <w:r>
        <w:t>Targeted samples are not used to determine listings</w:t>
      </w:r>
      <w:r w:rsidR="00DD101D">
        <w:t xml:space="preserve"> on the Texas Integrated Report</w:t>
      </w:r>
      <w:r>
        <w:t>.</w:t>
      </w:r>
    </w:p>
    <w:tbl>
      <w:tblPr>
        <w:tblW w:w="6320" w:type="dxa"/>
        <w:jc w:val="center"/>
        <w:tblLook w:val="04A0" w:firstRow="1" w:lastRow="0" w:firstColumn="1" w:lastColumn="0" w:noHBand="0" w:noVBand="1"/>
      </w:tblPr>
      <w:tblGrid>
        <w:gridCol w:w="1840"/>
        <w:gridCol w:w="2020"/>
        <w:gridCol w:w="2460"/>
      </w:tblGrid>
      <w:tr w:rsidR="00A25BC9" w:rsidRPr="00A25BC9" w14:paraId="5445132C" w14:textId="77777777" w:rsidTr="00A25BC9">
        <w:trPr>
          <w:trHeight w:val="960"/>
          <w:jc w:val="center"/>
        </w:trPr>
        <w:tc>
          <w:tcPr>
            <w:tcW w:w="1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2114A2" w14:textId="77777777" w:rsidR="00A25BC9" w:rsidRPr="00A25BC9" w:rsidRDefault="00A25BC9" w:rsidP="00A25BC9">
            <w:pPr>
              <w:spacing w:after="0" w:line="240" w:lineRule="auto"/>
              <w:jc w:val="center"/>
              <w:rPr>
                <w:rFonts w:eastAsia="Times New Roman" w:cs="Times New Roman"/>
                <w:b/>
                <w:bCs/>
                <w:color w:val="000000"/>
                <w:szCs w:val="24"/>
              </w:rPr>
            </w:pPr>
            <w:r w:rsidRPr="00A25BC9">
              <w:rPr>
                <w:rFonts w:eastAsia="Times New Roman" w:cs="Times New Roman"/>
                <w:b/>
                <w:bCs/>
                <w:color w:val="000000"/>
                <w:szCs w:val="24"/>
              </w:rPr>
              <w:t>Targeted Sampling Date</w:t>
            </w:r>
          </w:p>
        </w:tc>
        <w:tc>
          <w:tcPr>
            <w:tcW w:w="2020" w:type="dxa"/>
            <w:tcBorders>
              <w:top w:val="single" w:sz="4" w:space="0" w:color="auto"/>
              <w:left w:val="nil"/>
              <w:bottom w:val="single" w:sz="4" w:space="0" w:color="auto"/>
              <w:right w:val="single" w:sz="4" w:space="0" w:color="auto"/>
            </w:tcBorders>
            <w:shd w:val="clear" w:color="000000" w:fill="D9D9D9"/>
            <w:vAlign w:val="center"/>
            <w:hideMark/>
          </w:tcPr>
          <w:p w14:paraId="27213EC7" w14:textId="77777777" w:rsidR="00A25BC9" w:rsidRPr="00A25BC9" w:rsidRDefault="00A25BC9" w:rsidP="00A25BC9">
            <w:pPr>
              <w:spacing w:after="0" w:line="240" w:lineRule="auto"/>
              <w:jc w:val="center"/>
              <w:rPr>
                <w:rFonts w:eastAsia="Times New Roman" w:cs="Times New Roman"/>
                <w:b/>
                <w:bCs/>
                <w:color w:val="000000"/>
                <w:szCs w:val="24"/>
              </w:rPr>
            </w:pPr>
            <w:r w:rsidRPr="00A25BC9">
              <w:rPr>
                <w:rFonts w:eastAsia="Times New Roman" w:cs="Times New Roman"/>
                <w:b/>
                <w:bCs/>
                <w:color w:val="000000"/>
                <w:szCs w:val="24"/>
              </w:rPr>
              <w:t>Amount of Rainfall</w:t>
            </w:r>
          </w:p>
        </w:tc>
        <w:tc>
          <w:tcPr>
            <w:tcW w:w="2460" w:type="dxa"/>
            <w:tcBorders>
              <w:top w:val="single" w:sz="4" w:space="0" w:color="auto"/>
              <w:left w:val="nil"/>
              <w:bottom w:val="single" w:sz="4" w:space="0" w:color="auto"/>
              <w:right w:val="single" w:sz="4" w:space="0" w:color="auto"/>
            </w:tcBorders>
            <w:shd w:val="clear" w:color="000000" w:fill="D9D9D9"/>
            <w:vAlign w:val="center"/>
            <w:hideMark/>
          </w:tcPr>
          <w:p w14:paraId="41722D6A" w14:textId="77777777" w:rsidR="00A25BC9" w:rsidRPr="00A25BC9" w:rsidRDefault="00A25BC9" w:rsidP="00A25BC9">
            <w:pPr>
              <w:spacing w:after="0" w:line="240" w:lineRule="auto"/>
              <w:jc w:val="center"/>
              <w:rPr>
                <w:rFonts w:eastAsia="Times New Roman" w:cs="Times New Roman"/>
                <w:b/>
                <w:bCs/>
                <w:color w:val="000000"/>
                <w:szCs w:val="24"/>
              </w:rPr>
            </w:pPr>
            <w:r w:rsidRPr="00A25BC9">
              <w:rPr>
                <w:rFonts w:eastAsia="Times New Roman" w:cs="Times New Roman"/>
                <w:b/>
                <w:bCs/>
                <w:color w:val="000000"/>
                <w:szCs w:val="24"/>
              </w:rPr>
              <w:t>Number of Days Since Last Rainfall</w:t>
            </w:r>
          </w:p>
        </w:tc>
      </w:tr>
      <w:tr w:rsidR="00A25BC9" w:rsidRPr="00A25BC9" w14:paraId="27B925A9" w14:textId="77777777" w:rsidTr="00A25BC9">
        <w:trPr>
          <w:trHeight w:val="315"/>
          <w:jc w:val="center"/>
        </w:trPr>
        <w:tc>
          <w:tcPr>
            <w:tcW w:w="18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FD6CC0"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10/31/2013 </w:t>
            </w:r>
          </w:p>
        </w:tc>
        <w:tc>
          <w:tcPr>
            <w:tcW w:w="2020" w:type="dxa"/>
            <w:tcBorders>
              <w:top w:val="nil"/>
              <w:left w:val="nil"/>
              <w:bottom w:val="single" w:sz="4" w:space="0" w:color="auto"/>
              <w:right w:val="single" w:sz="4" w:space="0" w:color="auto"/>
            </w:tcBorders>
            <w:shd w:val="clear" w:color="auto" w:fill="F2F2F2" w:themeFill="background1" w:themeFillShade="F2"/>
            <w:noWrap/>
            <w:vAlign w:val="bottom"/>
            <w:hideMark/>
          </w:tcPr>
          <w:p w14:paraId="2D4205ED"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0.53 </w:t>
            </w:r>
          </w:p>
        </w:tc>
        <w:tc>
          <w:tcPr>
            <w:tcW w:w="2460" w:type="dxa"/>
            <w:tcBorders>
              <w:top w:val="nil"/>
              <w:left w:val="nil"/>
              <w:bottom w:val="single" w:sz="4" w:space="0" w:color="auto"/>
              <w:right w:val="single" w:sz="4" w:space="0" w:color="auto"/>
            </w:tcBorders>
            <w:shd w:val="clear" w:color="auto" w:fill="F2F2F2" w:themeFill="background1" w:themeFillShade="F2"/>
            <w:noWrap/>
            <w:vAlign w:val="bottom"/>
            <w:hideMark/>
          </w:tcPr>
          <w:p w14:paraId="58EA1875"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2</w:t>
            </w:r>
          </w:p>
        </w:tc>
      </w:tr>
      <w:tr w:rsidR="00A25BC9" w:rsidRPr="00A25BC9" w14:paraId="27EB4143" w14:textId="77777777" w:rsidTr="00A25BC9">
        <w:trPr>
          <w:trHeight w:val="315"/>
          <w:jc w:val="center"/>
        </w:trPr>
        <w:tc>
          <w:tcPr>
            <w:tcW w:w="18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E6801E"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2/26/2014 </w:t>
            </w:r>
          </w:p>
        </w:tc>
        <w:tc>
          <w:tcPr>
            <w:tcW w:w="2020" w:type="dxa"/>
            <w:tcBorders>
              <w:top w:val="nil"/>
              <w:left w:val="nil"/>
              <w:bottom w:val="single" w:sz="4" w:space="0" w:color="auto"/>
              <w:right w:val="single" w:sz="4" w:space="0" w:color="auto"/>
            </w:tcBorders>
            <w:shd w:val="clear" w:color="auto" w:fill="F2F2F2" w:themeFill="background1" w:themeFillShade="F2"/>
            <w:noWrap/>
            <w:vAlign w:val="bottom"/>
            <w:hideMark/>
          </w:tcPr>
          <w:p w14:paraId="19CDA976"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2.50 </w:t>
            </w:r>
          </w:p>
        </w:tc>
        <w:tc>
          <w:tcPr>
            <w:tcW w:w="2460" w:type="dxa"/>
            <w:tcBorders>
              <w:top w:val="nil"/>
              <w:left w:val="nil"/>
              <w:bottom w:val="single" w:sz="4" w:space="0" w:color="auto"/>
              <w:right w:val="single" w:sz="4" w:space="0" w:color="auto"/>
            </w:tcBorders>
            <w:shd w:val="clear" w:color="auto" w:fill="F2F2F2" w:themeFill="background1" w:themeFillShade="F2"/>
            <w:noWrap/>
            <w:vAlign w:val="bottom"/>
            <w:hideMark/>
          </w:tcPr>
          <w:p w14:paraId="01EACDF1"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1</w:t>
            </w:r>
          </w:p>
        </w:tc>
      </w:tr>
      <w:tr w:rsidR="00A25BC9" w:rsidRPr="00A25BC9" w14:paraId="05831DAD" w14:textId="77777777" w:rsidTr="00A25BC9">
        <w:trPr>
          <w:trHeight w:val="315"/>
          <w:jc w:val="center"/>
        </w:trPr>
        <w:tc>
          <w:tcPr>
            <w:tcW w:w="18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336F5A"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5/13/2014 </w:t>
            </w:r>
          </w:p>
        </w:tc>
        <w:tc>
          <w:tcPr>
            <w:tcW w:w="2020" w:type="dxa"/>
            <w:tcBorders>
              <w:top w:val="nil"/>
              <w:left w:val="nil"/>
              <w:bottom w:val="single" w:sz="4" w:space="0" w:color="auto"/>
              <w:right w:val="single" w:sz="4" w:space="0" w:color="auto"/>
            </w:tcBorders>
            <w:shd w:val="clear" w:color="auto" w:fill="F2F2F2" w:themeFill="background1" w:themeFillShade="F2"/>
            <w:noWrap/>
            <w:vAlign w:val="bottom"/>
            <w:hideMark/>
          </w:tcPr>
          <w:p w14:paraId="5B43892A"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1.10 </w:t>
            </w:r>
          </w:p>
        </w:tc>
        <w:tc>
          <w:tcPr>
            <w:tcW w:w="2460" w:type="dxa"/>
            <w:tcBorders>
              <w:top w:val="nil"/>
              <w:left w:val="nil"/>
              <w:bottom w:val="single" w:sz="4" w:space="0" w:color="auto"/>
              <w:right w:val="single" w:sz="4" w:space="0" w:color="auto"/>
            </w:tcBorders>
            <w:shd w:val="clear" w:color="auto" w:fill="F2F2F2" w:themeFill="background1" w:themeFillShade="F2"/>
            <w:noWrap/>
            <w:vAlign w:val="bottom"/>
            <w:hideMark/>
          </w:tcPr>
          <w:p w14:paraId="48F1F64F"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27</w:t>
            </w:r>
          </w:p>
        </w:tc>
      </w:tr>
      <w:tr w:rsidR="00A25BC9" w:rsidRPr="00A25BC9" w14:paraId="1C56A40D" w14:textId="77777777" w:rsidTr="00A25BC9">
        <w:trPr>
          <w:trHeight w:val="315"/>
          <w:jc w:val="center"/>
        </w:trPr>
        <w:tc>
          <w:tcPr>
            <w:tcW w:w="18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2163BAF"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5/27/2014 </w:t>
            </w:r>
          </w:p>
        </w:tc>
        <w:tc>
          <w:tcPr>
            <w:tcW w:w="2020" w:type="dxa"/>
            <w:tcBorders>
              <w:top w:val="nil"/>
              <w:left w:val="nil"/>
              <w:bottom w:val="single" w:sz="4" w:space="0" w:color="auto"/>
              <w:right w:val="single" w:sz="4" w:space="0" w:color="auto"/>
            </w:tcBorders>
            <w:shd w:val="clear" w:color="auto" w:fill="F2F2F2" w:themeFill="background1" w:themeFillShade="F2"/>
            <w:noWrap/>
            <w:vAlign w:val="bottom"/>
            <w:hideMark/>
          </w:tcPr>
          <w:p w14:paraId="79FC6723"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0.16 </w:t>
            </w:r>
          </w:p>
        </w:tc>
        <w:tc>
          <w:tcPr>
            <w:tcW w:w="2460" w:type="dxa"/>
            <w:tcBorders>
              <w:top w:val="nil"/>
              <w:left w:val="nil"/>
              <w:bottom w:val="single" w:sz="4" w:space="0" w:color="auto"/>
              <w:right w:val="single" w:sz="4" w:space="0" w:color="auto"/>
            </w:tcBorders>
            <w:shd w:val="clear" w:color="auto" w:fill="F2F2F2" w:themeFill="background1" w:themeFillShade="F2"/>
            <w:noWrap/>
            <w:vAlign w:val="bottom"/>
            <w:hideMark/>
          </w:tcPr>
          <w:p w14:paraId="630D9D41"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12</w:t>
            </w:r>
          </w:p>
        </w:tc>
      </w:tr>
      <w:tr w:rsidR="00A25BC9" w:rsidRPr="00A25BC9" w14:paraId="04445B1E" w14:textId="77777777" w:rsidTr="00A25BC9">
        <w:trPr>
          <w:trHeight w:val="315"/>
          <w:jc w:val="center"/>
        </w:trPr>
        <w:tc>
          <w:tcPr>
            <w:tcW w:w="18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2E04D9B"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9/17/2014 </w:t>
            </w:r>
          </w:p>
        </w:tc>
        <w:tc>
          <w:tcPr>
            <w:tcW w:w="2020" w:type="dxa"/>
            <w:tcBorders>
              <w:top w:val="nil"/>
              <w:left w:val="nil"/>
              <w:bottom w:val="single" w:sz="4" w:space="0" w:color="auto"/>
              <w:right w:val="single" w:sz="4" w:space="0" w:color="auto"/>
            </w:tcBorders>
            <w:shd w:val="clear" w:color="auto" w:fill="F2F2F2" w:themeFill="background1" w:themeFillShade="F2"/>
            <w:noWrap/>
            <w:vAlign w:val="bottom"/>
            <w:hideMark/>
          </w:tcPr>
          <w:p w14:paraId="320E06B4"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1.40 </w:t>
            </w:r>
          </w:p>
        </w:tc>
        <w:tc>
          <w:tcPr>
            <w:tcW w:w="2460" w:type="dxa"/>
            <w:tcBorders>
              <w:top w:val="nil"/>
              <w:left w:val="nil"/>
              <w:bottom w:val="single" w:sz="4" w:space="0" w:color="auto"/>
              <w:right w:val="single" w:sz="4" w:space="0" w:color="auto"/>
            </w:tcBorders>
            <w:shd w:val="clear" w:color="auto" w:fill="F2F2F2" w:themeFill="background1" w:themeFillShade="F2"/>
            <w:noWrap/>
            <w:vAlign w:val="bottom"/>
            <w:hideMark/>
          </w:tcPr>
          <w:p w14:paraId="5F240799"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0</w:t>
            </w:r>
          </w:p>
        </w:tc>
      </w:tr>
      <w:tr w:rsidR="00A25BC9" w:rsidRPr="00A25BC9" w14:paraId="3DA6A3AC" w14:textId="77777777" w:rsidTr="00A25BC9">
        <w:trPr>
          <w:trHeight w:val="315"/>
          <w:jc w:val="center"/>
        </w:trPr>
        <w:tc>
          <w:tcPr>
            <w:tcW w:w="18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683BE7"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3/10/2015 </w:t>
            </w:r>
          </w:p>
        </w:tc>
        <w:tc>
          <w:tcPr>
            <w:tcW w:w="2020" w:type="dxa"/>
            <w:tcBorders>
              <w:top w:val="nil"/>
              <w:left w:val="nil"/>
              <w:bottom w:val="single" w:sz="4" w:space="0" w:color="auto"/>
              <w:right w:val="single" w:sz="4" w:space="0" w:color="auto"/>
            </w:tcBorders>
            <w:shd w:val="clear" w:color="auto" w:fill="F2F2F2" w:themeFill="background1" w:themeFillShade="F2"/>
            <w:noWrap/>
            <w:vAlign w:val="bottom"/>
            <w:hideMark/>
          </w:tcPr>
          <w:p w14:paraId="32CEFAFD"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0.40 </w:t>
            </w:r>
          </w:p>
        </w:tc>
        <w:tc>
          <w:tcPr>
            <w:tcW w:w="2460" w:type="dxa"/>
            <w:tcBorders>
              <w:top w:val="nil"/>
              <w:left w:val="nil"/>
              <w:bottom w:val="single" w:sz="4" w:space="0" w:color="auto"/>
              <w:right w:val="single" w:sz="4" w:space="0" w:color="auto"/>
            </w:tcBorders>
            <w:shd w:val="clear" w:color="auto" w:fill="F2F2F2" w:themeFill="background1" w:themeFillShade="F2"/>
            <w:noWrap/>
            <w:vAlign w:val="bottom"/>
            <w:hideMark/>
          </w:tcPr>
          <w:p w14:paraId="497F8F3B"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0</w:t>
            </w:r>
          </w:p>
        </w:tc>
      </w:tr>
      <w:tr w:rsidR="00A25BC9" w:rsidRPr="00A25BC9" w14:paraId="0831DAE6" w14:textId="77777777" w:rsidTr="00A25BC9">
        <w:trPr>
          <w:trHeight w:val="315"/>
          <w:jc w:val="center"/>
        </w:trPr>
        <w:tc>
          <w:tcPr>
            <w:tcW w:w="18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CE1E423"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4/17/2015 </w:t>
            </w:r>
          </w:p>
        </w:tc>
        <w:tc>
          <w:tcPr>
            <w:tcW w:w="2020" w:type="dxa"/>
            <w:tcBorders>
              <w:top w:val="nil"/>
              <w:left w:val="nil"/>
              <w:bottom w:val="single" w:sz="4" w:space="0" w:color="auto"/>
              <w:right w:val="single" w:sz="4" w:space="0" w:color="auto"/>
            </w:tcBorders>
            <w:shd w:val="clear" w:color="auto" w:fill="F2F2F2" w:themeFill="background1" w:themeFillShade="F2"/>
            <w:noWrap/>
            <w:vAlign w:val="bottom"/>
            <w:hideMark/>
          </w:tcPr>
          <w:p w14:paraId="40F9E6B6" w14:textId="77777777" w:rsidR="00A25BC9" w:rsidRPr="00A25BC9" w:rsidRDefault="00A25BC9" w:rsidP="00A25BC9">
            <w:pPr>
              <w:spacing w:after="0" w:line="240" w:lineRule="auto"/>
              <w:jc w:val="center"/>
              <w:rPr>
                <w:rFonts w:eastAsia="Times New Roman" w:cs="Times New Roman"/>
                <w:color w:val="000000"/>
                <w:szCs w:val="24"/>
              </w:rPr>
            </w:pPr>
            <w:r w:rsidRPr="00A25BC9">
              <w:rPr>
                <w:rFonts w:eastAsia="Times New Roman" w:cs="Times New Roman"/>
                <w:color w:val="000000"/>
                <w:szCs w:val="24"/>
              </w:rPr>
              <w:t xml:space="preserve">2.80 </w:t>
            </w:r>
          </w:p>
        </w:tc>
        <w:tc>
          <w:tcPr>
            <w:tcW w:w="2460" w:type="dxa"/>
            <w:tcBorders>
              <w:top w:val="nil"/>
              <w:left w:val="nil"/>
              <w:bottom w:val="single" w:sz="4" w:space="0" w:color="auto"/>
              <w:right w:val="single" w:sz="4" w:space="0" w:color="auto"/>
            </w:tcBorders>
            <w:shd w:val="clear" w:color="auto" w:fill="F2F2F2" w:themeFill="background1" w:themeFillShade="F2"/>
            <w:noWrap/>
            <w:vAlign w:val="bottom"/>
            <w:hideMark/>
          </w:tcPr>
          <w:p w14:paraId="4E149F58" w14:textId="77777777" w:rsidR="00A25BC9" w:rsidRPr="00A25BC9" w:rsidRDefault="00A25BC9" w:rsidP="009867B6">
            <w:pPr>
              <w:keepNext/>
              <w:spacing w:after="0" w:line="240" w:lineRule="auto"/>
              <w:jc w:val="center"/>
              <w:rPr>
                <w:rFonts w:eastAsia="Times New Roman" w:cs="Times New Roman"/>
                <w:color w:val="000000"/>
                <w:szCs w:val="24"/>
              </w:rPr>
            </w:pPr>
            <w:r w:rsidRPr="00A25BC9">
              <w:rPr>
                <w:rFonts w:eastAsia="Times New Roman" w:cs="Times New Roman"/>
                <w:color w:val="000000"/>
                <w:szCs w:val="24"/>
              </w:rPr>
              <w:t>0</w:t>
            </w:r>
          </w:p>
        </w:tc>
      </w:tr>
    </w:tbl>
    <w:p w14:paraId="57BB74F0" w14:textId="07F4598F" w:rsidR="009867B6" w:rsidRDefault="009867B6" w:rsidP="009867B6">
      <w:pPr>
        <w:pStyle w:val="Caption"/>
        <w:spacing w:before="240" w:after="120"/>
      </w:pPr>
      <w:bookmarkStart w:id="6" w:name="_Ref424200220"/>
      <w:r>
        <w:t>Table 4-</w:t>
      </w:r>
      <w:r w:rsidR="00FC1619">
        <w:fldChar w:fldCharType="begin"/>
      </w:r>
      <w:r w:rsidR="00FC1619">
        <w:instrText xml:space="preserve"> SEQ Table_4- \* ARABIC </w:instrText>
      </w:r>
      <w:r w:rsidR="00FC1619">
        <w:fldChar w:fldCharType="separate"/>
      </w:r>
      <w:r w:rsidR="00FC1619">
        <w:rPr>
          <w:noProof/>
        </w:rPr>
        <w:t>1</w:t>
      </w:r>
      <w:r w:rsidR="00FC1619">
        <w:rPr>
          <w:noProof/>
        </w:rPr>
        <w:fldChar w:fldCharType="end"/>
      </w:r>
      <w:r>
        <w:t xml:space="preserve"> </w:t>
      </w:r>
      <w:r w:rsidRPr="009C7292">
        <w:t>Targeted sampling dates</w:t>
      </w:r>
      <w:bookmarkEnd w:id="6"/>
    </w:p>
    <w:p w14:paraId="618943DA" w14:textId="7FC01A83" w:rsidR="00D95B60" w:rsidRDefault="00D62897" w:rsidP="006D5ACD">
      <w:r w:rsidRPr="00C22DBC">
        <w:t xml:space="preserve">All other sampling events are considered routine samples regardless of the amount of precipitation that occurred on or before the sampling day. Although routine samples that were collected in accordance with a wet weather event can also be helpful to assess the condition of the bayous during rain events. </w:t>
      </w:r>
      <w:r>
        <w:t>The routine samples are used to assess baseline water quality conditions in the watershed.</w:t>
      </w:r>
      <w:r w:rsidRPr="00D62897">
        <w:t xml:space="preserve"> </w:t>
      </w:r>
    </w:p>
    <w:p w14:paraId="460C270C" w14:textId="77777777" w:rsidR="0091149C" w:rsidRDefault="0091149C" w:rsidP="00AD610F">
      <w:pPr>
        <w:pStyle w:val="Heading2"/>
      </w:pPr>
      <w:bookmarkStart w:id="7" w:name="_Toc424194272"/>
      <w:r>
        <w:t>Stream Type Designations and Tidal Mixing</w:t>
      </w:r>
      <w:bookmarkEnd w:id="7"/>
      <w:r>
        <w:t xml:space="preserve"> </w:t>
      </w:r>
    </w:p>
    <w:p w14:paraId="6715C313" w14:textId="07C608B5" w:rsidR="009B0426" w:rsidRPr="00C93AD8" w:rsidRDefault="0091149C" w:rsidP="009867B6">
      <w:pPr>
        <w:rPr>
          <w:color w:val="auto"/>
        </w:rPr>
      </w:pPr>
      <w:r>
        <w:t>Throughout this WPP all referenced stream type designations such as tidal and non</w:t>
      </w:r>
      <w:r w:rsidRPr="00432E87">
        <w:t>tidal</w:t>
      </w:r>
      <w:r>
        <w:t xml:space="preserve"> will include a combination of the stations with the corresponding stream </w:t>
      </w:r>
      <w:r w:rsidR="00F20C86">
        <w:t>type designation</w:t>
      </w:r>
      <w:r w:rsidR="009867B6">
        <w:t xml:space="preserve"> (</w:t>
      </w:r>
      <w:r w:rsidR="009867B6">
        <w:fldChar w:fldCharType="begin"/>
      </w:r>
      <w:r w:rsidR="009867B6">
        <w:instrText xml:space="preserve"> REF _Ref424200282 \h </w:instrText>
      </w:r>
      <w:r w:rsidR="009867B6">
        <w:fldChar w:fldCharType="separate"/>
      </w:r>
      <w:r w:rsidR="00FC1619">
        <w:t>Table 4-</w:t>
      </w:r>
      <w:r w:rsidR="00FC1619">
        <w:rPr>
          <w:noProof/>
        </w:rPr>
        <w:t>2</w:t>
      </w:r>
      <w:r w:rsidR="00FC1619">
        <w:t xml:space="preserve"> Stream type designations</w:t>
      </w:r>
      <w:r w:rsidR="009867B6">
        <w:fldChar w:fldCharType="end"/>
      </w:r>
      <w:r w:rsidR="00F20C86">
        <w:t>)</w:t>
      </w:r>
      <w:r>
        <w:t xml:space="preserve">, unless otherwise specified. </w:t>
      </w:r>
      <w:r w:rsidR="00AC3D44">
        <w:rPr>
          <w:color w:val="auto"/>
        </w:rPr>
        <w:t>For the purposes of this WPP</w:t>
      </w:r>
      <w:r w:rsidR="00F238B7">
        <w:rPr>
          <w:color w:val="auto"/>
        </w:rPr>
        <w:t>,</w:t>
      </w:r>
      <w:r w:rsidR="00AC3D44">
        <w:rPr>
          <w:color w:val="auto"/>
        </w:rPr>
        <w:t xml:space="preserve"> when bacteria is mentioned in association with a sampling station it will be in reference to </w:t>
      </w:r>
      <w:r w:rsidR="00AC3D44" w:rsidRPr="00262620">
        <w:rPr>
          <w:i/>
          <w:iCs/>
          <w:color w:val="auto"/>
        </w:rPr>
        <w:t>E. coli</w:t>
      </w:r>
      <w:r w:rsidR="00AC3D44">
        <w:rPr>
          <w:color w:val="auto"/>
        </w:rPr>
        <w:t xml:space="preserve"> at the </w:t>
      </w:r>
      <w:r w:rsidR="00AC3D44">
        <w:t>non</w:t>
      </w:r>
      <w:r w:rsidR="00AC3D44" w:rsidRPr="00432E87">
        <w:t>tidal</w:t>
      </w:r>
      <w:r w:rsidR="00AC3D44">
        <w:rPr>
          <w:color w:val="auto"/>
        </w:rPr>
        <w:t xml:space="preserve"> stations EFU and WWTF. The other three stations </w:t>
      </w:r>
      <w:r w:rsidR="00C93AD8">
        <w:rPr>
          <w:color w:val="auto"/>
        </w:rPr>
        <w:t>are assessed using Enterococci.</w:t>
      </w:r>
    </w:p>
    <w:tbl>
      <w:tblPr>
        <w:tblW w:w="7285" w:type="dxa"/>
        <w:jc w:val="center"/>
        <w:tblLook w:val="04A0" w:firstRow="1" w:lastRow="0" w:firstColumn="1" w:lastColumn="0" w:noHBand="0" w:noVBand="1"/>
      </w:tblPr>
      <w:tblGrid>
        <w:gridCol w:w="3325"/>
        <w:gridCol w:w="2340"/>
        <w:gridCol w:w="1620"/>
      </w:tblGrid>
      <w:tr w:rsidR="0091149C" w:rsidRPr="00B44485" w14:paraId="4C093BA5" w14:textId="77777777" w:rsidTr="00503482">
        <w:trPr>
          <w:trHeight w:val="555"/>
          <w:jc w:val="center"/>
        </w:trPr>
        <w:tc>
          <w:tcPr>
            <w:tcW w:w="332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0CDBBF5" w14:textId="77777777" w:rsidR="0091149C" w:rsidRPr="00B44485" w:rsidRDefault="0091149C" w:rsidP="00503482">
            <w:pPr>
              <w:spacing w:after="0" w:line="240" w:lineRule="auto"/>
              <w:jc w:val="center"/>
              <w:rPr>
                <w:rFonts w:eastAsia="Times New Roman" w:cs="Times New Roman"/>
                <w:b/>
                <w:bCs/>
                <w:color w:val="auto"/>
                <w:szCs w:val="24"/>
              </w:rPr>
            </w:pPr>
            <w:r w:rsidRPr="00B44485">
              <w:rPr>
                <w:rFonts w:eastAsia="Times New Roman" w:cs="Times New Roman"/>
                <w:b/>
                <w:bCs/>
                <w:color w:val="auto"/>
                <w:szCs w:val="24"/>
              </w:rPr>
              <w:t xml:space="preserve">Sampling Station </w:t>
            </w:r>
          </w:p>
        </w:tc>
        <w:tc>
          <w:tcPr>
            <w:tcW w:w="2340" w:type="dxa"/>
            <w:tcBorders>
              <w:top w:val="single" w:sz="4" w:space="0" w:color="auto"/>
              <w:left w:val="nil"/>
              <w:bottom w:val="single" w:sz="4" w:space="0" w:color="auto"/>
              <w:right w:val="single" w:sz="4" w:space="0" w:color="auto"/>
            </w:tcBorders>
            <w:shd w:val="clear" w:color="000000" w:fill="BFBFBF"/>
            <w:vAlign w:val="center"/>
            <w:hideMark/>
          </w:tcPr>
          <w:p w14:paraId="2FB06B2A" w14:textId="77777777" w:rsidR="0091149C" w:rsidRPr="00B44485" w:rsidRDefault="0091149C" w:rsidP="00503482">
            <w:pPr>
              <w:spacing w:after="0" w:line="240" w:lineRule="auto"/>
              <w:jc w:val="center"/>
              <w:rPr>
                <w:rFonts w:eastAsia="Times New Roman" w:cs="Times New Roman"/>
                <w:b/>
                <w:bCs/>
                <w:color w:val="auto"/>
                <w:szCs w:val="24"/>
              </w:rPr>
            </w:pPr>
            <w:r w:rsidRPr="00B44485">
              <w:rPr>
                <w:rFonts w:eastAsia="Times New Roman" w:cs="Times New Roman"/>
                <w:b/>
                <w:bCs/>
                <w:color w:val="auto"/>
                <w:szCs w:val="24"/>
              </w:rPr>
              <w:t>Sampling Station ID</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1E0BF6D6" w14:textId="77777777" w:rsidR="0091149C" w:rsidRPr="00B44485" w:rsidRDefault="0091149C" w:rsidP="00503482">
            <w:pPr>
              <w:spacing w:after="0" w:line="240" w:lineRule="auto"/>
              <w:jc w:val="center"/>
              <w:rPr>
                <w:rFonts w:eastAsia="Times New Roman" w:cs="Times New Roman"/>
                <w:b/>
                <w:bCs/>
                <w:color w:val="auto"/>
                <w:szCs w:val="24"/>
              </w:rPr>
            </w:pPr>
            <w:r w:rsidRPr="00B44485">
              <w:rPr>
                <w:rFonts w:eastAsia="Times New Roman" w:cs="Times New Roman"/>
                <w:b/>
                <w:bCs/>
                <w:color w:val="auto"/>
                <w:szCs w:val="24"/>
              </w:rPr>
              <w:t>Stream Type</w:t>
            </w:r>
          </w:p>
        </w:tc>
      </w:tr>
      <w:tr w:rsidR="0091149C" w:rsidRPr="00B44485" w14:paraId="14C7D9B6" w14:textId="77777777" w:rsidTr="00503482">
        <w:trPr>
          <w:trHeight w:val="315"/>
          <w:jc w:val="center"/>
        </w:trPr>
        <w:tc>
          <w:tcPr>
            <w:tcW w:w="3325" w:type="dxa"/>
            <w:tcBorders>
              <w:top w:val="nil"/>
              <w:left w:val="single" w:sz="4" w:space="0" w:color="auto"/>
              <w:bottom w:val="single" w:sz="4" w:space="0" w:color="auto"/>
              <w:right w:val="single" w:sz="4" w:space="0" w:color="auto"/>
            </w:tcBorders>
            <w:shd w:val="clear" w:color="000000" w:fill="F2F2F2"/>
            <w:noWrap/>
            <w:vAlign w:val="center"/>
            <w:hideMark/>
          </w:tcPr>
          <w:p w14:paraId="194202DC"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 xml:space="preserve">Wastewater Treatment Facility </w:t>
            </w:r>
          </w:p>
        </w:tc>
        <w:tc>
          <w:tcPr>
            <w:tcW w:w="2340" w:type="dxa"/>
            <w:tcBorders>
              <w:top w:val="nil"/>
              <w:left w:val="nil"/>
              <w:bottom w:val="single" w:sz="4" w:space="0" w:color="auto"/>
              <w:right w:val="single" w:sz="4" w:space="0" w:color="auto"/>
            </w:tcBorders>
            <w:shd w:val="clear" w:color="000000" w:fill="F2F2F2"/>
            <w:noWrap/>
            <w:vAlign w:val="center"/>
            <w:hideMark/>
          </w:tcPr>
          <w:p w14:paraId="14746434"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2.94443E+14</w:t>
            </w:r>
          </w:p>
        </w:tc>
        <w:tc>
          <w:tcPr>
            <w:tcW w:w="1620" w:type="dxa"/>
            <w:tcBorders>
              <w:top w:val="nil"/>
              <w:left w:val="nil"/>
              <w:bottom w:val="single" w:sz="4" w:space="0" w:color="auto"/>
              <w:right w:val="single" w:sz="4" w:space="0" w:color="auto"/>
            </w:tcBorders>
            <w:shd w:val="clear" w:color="000000" w:fill="F2F2F2"/>
            <w:noWrap/>
            <w:vAlign w:val="center"/>
            <w:hideMark/>
          </w:tcPr>
          <w:p w14:paraId="5034CDCC"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Nontidal</w:t>
            </w:r>
          </w:p>
        </w:tc>
      </w:tr>
      <w:tr w:rsidR="0091149C" w:rsidRPr="00B44485" w14:paraId="0245CCBD" w14:textId="77777777" w:rsidTr="00503482">
        <w:trPr>
          <w:trHeight w:val="315"/>
          <w:jc w:val="center"/>
        </w:trPr>
        <w:tc>
          <w:tcPr>
            <w:tcW w:w="3325" w:type="dxa"/>
            <w:tcBorders>
              <w:top w:val="nil"/>
              <w:left w:val="single" w:sz="4" w:space="0" w:color="auto"/>
              <w:bottom w:val="single" w:sz="4" w:space="0" w:color="auto"/>
              <w:right w:val="single" w:sz="4" w:space="0" w:color="auto"/>
            </w:tcBorders>
            <w:shd w:val="clear" w:color="000000" w:fill="F2F2F2"/>
            <w:noWrap/>
            <w:vAlign w:val="center"/>
            <w:hideMark/>
          </w:tcPr>
          <w:p w14:paraId="51F7E359"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 xml:space="preserve">East Fork Upper </w:t>
            </w:r>
          </w:p>
        </w:tc>
        <w:tc>
          <w:tcPr>
            <w:tcW w:w="2340" w:type="dxa"/>
            <w:tcBorders>
              <w:top w:val="nil"/>
              <w:left w:val="nil"/>
              <w:bottom w:val="single" w:sz="4" w:space="0" w:color="auto"/>
              <w:right w:val="single" w:sz="4" w:space="0" w:color="auto"/>
            </w:tcBorders>
            <w:shd w:val="clear" w:color="000000" w:fill="F2F2F2"/>
            <w:noWrap/>
            <w:vAlign w:val="center"/>
            <w:hideMark/>
          </w:tcPr>
          <w:p w14:paraId="2DD9AB12"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 xml:space="preserve">8042546 </w:t>
            </w:r>
          </w:p>
        </w:tc>
        <w:tc>
          <w:tcPr>
            <w:tcW w:w="1620" w:type="dxa"/>
            <w:tcBorders>
              <w:top w:val="nil"/>
              <w:left w:val="nil"/>
              <w:bottom w:val="single" w:sz="4" w:space="0" w:color="auto"/>
              <w:right w:val="single" w:sz="4" w:space="0" w:color="auto"/>
            </w:tcBorders>
            <w:shd w:val="clear" w:color="000000" w:fill="F2F2F2"/>
            <w:noWrap/>
            <w:vAlign w:val="center"/>
            <w:hideMark/>
          </w:tcPr>
          <w:p w14:paraId="12848DEF"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Nontidal</w:t>
            </w:r>
          </w:p>
        </w:tc>
      </w:tr>
      <w:tr w:rsidR="0091149C" w:rsidRPr="00B44485" w14:paraId="6B6D9BDE" w14:textId="77777777" w:rsidTr="00503482">
        <w:trPr>
          <w:trHeight w:val="315"/>
          <w:jc w:val="center"/>
        </w:trPr>
        <w:tc>
          <w:tcPr>
            <w:tcW w:w="3325" w:type="dxa"/>
            <w:tcBorders>
              <w:top w:val="nil"/>
              <w:left w:val="single" w:sz="4" w:space="0" w:color="auto"/>
              <w:bottom w:val="single" w:sz="4" w:space="0" w:color="auto"/>
              <w:right w:val="single" w:sz="4" w:space="0" w:color="auto"/>
            </w:tcBorders>
            <w:shd w:val="clear" w:color="000000" w:fill="F2F2F2"/>
            <w:noWrap/>
            <w:vAlign w:val="center"/>
            <w:hideMark/>
          </w:tcPr>
          <w:p w14:paraId="4ACC2A01"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 xml:space="preserve">East Fork Lower </w:t>
            </w:r>
          </w:p>
        </w:tc>
        <w:tc>
          <w:tcPr>
            <w:tcW w:w="2340" w:type="dxa"/>
            <w:tcBorders>
              <w:top w:val="nil"/>
              <w:left w:val="nil"/>
              <w:bottom w:val="single" w:sz="4" w:space="0" w:color="auto"/>
              <w:right w:val="single" w:sz="4" w:space="0" w:color="auto"/>
            </w:tcBorders>
            <w:shd w:val="clear" w:color="000000" w:fill="F2F2F2"/>
            <w:noWrap/>
            <w:vAlign w:val="center"/>
            <w:hideMark/>
          </w:tcPr>
          <w:p w14:paraId="15743CD0"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 xml:space="preserve">8042548 </w:t>
            </w:r>
          </w:p>
        </w:tc>
        <w:tc>
          <w:tcPr>
            <w:tcW w:w="1620" w:type="dxa"/>
            <w:tcBorders>
              <w:top w:val="nil"/>
              <w:left w:val="nil"/>
              <w:bottom w:val="single" w:sz="4" w:space="0" w:color="auto"/>
              <w:right w:val="single" w:sz="4" w:space="0" w:color="auto"/>
            </w:tcBorders>
            <w:shd w:val="clear" w:color="000000" w:fill="F2F2F2"/>
            <w:noWrap/>
            <w:vAlign w:val="center"/>
            <w:hideMark/>
          </w:tcPr>
          <w:p w14:paraId="274DB6E1"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Tidal</w:t>
            </w:r>
          </w:p>
        </w:tc>
      </w:tr>
      <w:tr w:rsidR="0091149C" w:rsidRPr="00B44485" w14:paraId="320E5A5F" w14:textId="77777777" w:rsidTr="00503482">
        <w:trPr>
          <w:trHeight w:val="315"/>
          <w:jc w:val="center"/>
        </w:trPr>
        <w:tc>
          <w:tcPr>
            <w:tcW w:w="3325" w:type="dxa"/>
            <w:tcBorders>
              <w:top w:val="nil"/>
              <w:left w:val="single" w:sz="4" w:space="0" w:color="auto"/>
              <w:bottom w:val="single" w:sz="4" w:space="0" w:color="auto"/>
              <w:right w:val="single" w:sz="4" w:space="0" w:color="auto"/>
            </w:tcBorders>
            <w:shd w:val="clear" w:color="000000" w:fill="F2F2F2"/>
            <w:noWrap/>
            <w:vAlign w:val="center"/>
            <w:hideMark/>
          </w:tcPr>
          <w:p w14:paraId="67019473"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 xml:space="preserve">West Fork Upper </w:t>
            </w:r>
          </w:p>
        </w:tc>
        <w:tc>
          <w:tcPr>
            <w:tcW w:w="2340" w:type="dxa"/>
            <w:tcBorders>
              <w:top w:val="nil"/>
              <w:left w:val="nil"/>
              <w:bottom w:val="single" w:sz="4" w:space="0" w:color="auto"/>
              <w:right w:val="single" w:sz="4" w:space="0" w:color="auto"/>
            </w:tcBorders>
            <w:shd w:val="clear" w:color="000000" w:fill="F2F2F2"/>
            <w:noWrap/>
            <w:vAlign w:val="center"/>
            <w:hideMark/>
          </w:tcPr>
          <w:p w14:paraId="42A8E2E8"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 xml:space="preserve">8042554 </w:t>
            </w:r>
          </w:p>
        </w:tc>
        <w:tc>
          <w:tcPr>
            <w:tcW w:w="1620" w:type="dxa"/>
            <w:tcBorders>
              <w:top w:val="nil"/>
              <w:left w:val="nil"/>
              <w:bottom w:val="single" w:sz="4" w:space="0" w:color="auto"/>
              <w:right w:val="single" w:sz="4" w:space="0" w:color="auto"/>
            </w:tcBorders>
            <w:shd w:val="clear" w:color="000000" w:fill="F2F2F2"/>
            <w:noWrap/>
            <w:vAlign w:val="center"/>
            <w:hideMark/>
          </w:tcPr>
          <w:p w14:paraId="6415C408"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Tidal</w:t>
            </w:r>
          </w:p>
        </w:tc>
      </w:tr>
      <w:tr w:rsidR="0091149C" w:rsidRPr="00B44485" w14:paraId="74469BB2" w14:textId="77777777" w:rsidTr="00503482">
        <w:trPr>
          <w:trHeight w:val="315"/>
          <w:jc w:val="center"/>
        </w:trPr>
        <w:tc>
          <w:tcPr>
            <w:tcW w:w="3325" w:type="dxa"/>
            <w:tcBorders>
              <w:top w:val="nil"/>
              <w:left w:val="single" w:sz="4" w:space="0" w:color="auto"/>
              <w:bottom w:val="single" w:sz="4" w:space="0" w:color="auto"/>
              <w:right w:val="single" w:sz="4" w:space="0" w:color="auto"/>
            </w:tcBorders>
            <w:shd w:val="clear" w:color="000000" w:fill="F2F2F2"/>
            <w:noWrap/>
            <w:vAlign w:val="center"/>
            <w:hideMark/>
          </w:tcPr>
          <w:p w14:paraId="6BADC4D4"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 xml:space="preserve">West Fork Lower </w:t>
            </w:r>
          </w:p>
        </w:tc>
        <w:tc>
          <w:tcPr>
            <w:tcW w:w="2340" w:type="dxa"/>
            <w:tcBorders>
              <w:top w:val="nil"/>
              <w:left w:val="nil"/>
              <w:bottom w:val="single" w:sz="4" w:space="0" w:color="auto"/>
              <w:right w:val="single" w:sz="4" w:space="0" w:color="auto"/>
            </w:tcBorders>
            <w:shd w:val="clear" w:color="000000" w:fill="F2F2F2"/>
            <w:noWrap/>
            <w:vAlign w:val="center"/>
            <w:hideMark/>
          </w:tcPr>
          <w:p w14:paraId="0464DC73" w14:textId="77777777" w:rsidR="0091149C" w:rsidRPr="00B44485" w:rsidRDefault="0091149C" w:rsidP="00503482">
            <w:pPr>
              <w:spacing w:after="0" w:line="240" w:lineRule="auto"/>
              <w:jc w:val="center"/>
              <w:rPr>
                <w:rFonts w:eastAsia="Times New Roman" w:cs="Times New Roman"/>
                <w:color w:val="auto"/>
                <w:szCs w:val="24"/>
              </w:rPr>
            </w:pPr>
            <w:r w:rsidRPr="00B44485">
              <w:rPr>
                <w:rFonts w:eastAsia="Times New Roman" w:cs="Times New Roman"/>
                <w:color w:val="auto"/>
                <w:szCs w:val="24"/>
              </w:rPr>
              <w:t xml:space="preserve">8042558 </w:t>
            </w:r>
          </w:p>
        </w:tc>
        <w:tc>
          <w:tcPr>
            <w:tcW w:w="1620" w:type="dxa"/>
            <w:tcBorders>
              <w:top w:val="nil"/>
              <w:left w:val="nil"/>
              <w:bottom w:val="single" w:sz="4" w:space="0" w:color="auto"/>
              <w:right w:val="single" w:sz="4" w:space="0" w:color="auto"/>
            </w:tcBorders>
            <w:shd w:val="clear" w:color="000000" w:fill="F2F2F2"/>
            <w:noWrap/>
            <w:vAlign w:val="center"/>
            <w:hideMark/>
          </w:tcPr>
          <w:p w14:paraId="2C69DCC1" w14:textId="77777777" w:rsidR="0091149C" w:rsidRPr="00B44485" w:rsidRDefault="0091149C" w:rsidP="009867B6">
            <w:pPr>
              <w:keepNext/>
              <w:spacing w:after="0" w:line="240" w:lineRule="auto"/>
              <w:jc w:val="center"/>
              <w:rPr>
                <w:rFonts w:eastAsia="Times New Roman" w:cs="Times New Roman"/>
                <w:color w:val="auto"/>
                <w:szCs w:val="24"/>
              </w:rPr>
            </w:pPr>
            <w:r w:rsidRPr="00B44485">
              <w:rPr>
                <w:rFonts w:eastAsia="Times New Roman" w:cs="Times New Roman"/>
                <w:color w:val="auto"/>
                <w:szCs w:val="24"/>
              </w:rPr>
              <w:t>Tidal</w:t>
            </w:r>
          </w:p>
        </w:tc>
      </w:tr>
    </w:tbl>
    <w:p w14:paraId="53CFF5B9" w14:textId="4B332B5D" w:rsidR="0091149C" w:rsidRDefault="00385793" w:rsidP="00BC3528">
      <w:pPr>
        <w:pStyle w:val="Caption"/>
        <w:spacing w:before="240"/>
      </w:pPr>
      <w:bookmarkStart w:id="8" w:name="_Ref424200282"/>
      <w:r>
        <w:t>Table 4-</w:t>
      </w:r>
      <w:r w:rsidR="00FC1619">
        <w:fldChar w:fldCharType="begin"/>
      </w:r>
      <w:r w:rsidR="00FC1619">
        <w:instrText xml:space="preserve"> SEQ Table_4- \* ARABIC </w:instrText>
      </w:r>
      <w:r w:rsidR="00FC1619">
        <w:fldChar w:fldCharType="separate"/>
      </w:r>
      <w:r w:rsidR="00FC1619">
        <w:rPr>
          <w:noProof/>
        </w:rPr>
        <w:t>2</w:t>
      </w:r>
      <w:r w:rsidR="00FC1619">
        <w:rPr>
          <w:noProof/>
        </w:rPr>
        <w:fldChar w:fldCharType="end"/>
      </w:r>
      <w:r w:rsidR="009867B6">
        <w:t xml:space="preserve"> Stream type designations</w:t>
      </w:r>
      <w:bookmarkEnd w:id="8"/>
    </w:p>
    <w:p w14:paraId="799A5AC4" w14:textId="25A762F6" w:rsidR="00341DAB" w:rsidRDefault="000824E5" w:rsidP="00C91A48">
      <w:pPr>
        <w:spacing w:line="240" w:lineRule="auto"/>
      </w:pPr>
      <w:r>
        <w:t>Although the Anahuac Ditch, where the WWTF sampling station is located, forms its confluence with the main tidal portion of the West Fork of Double Bayou</w:t>
      </w:r>
      <w:r w:rsidR="00815C5C">
        <w:t>,</w:t>
      </w:r>
      <w:r>
        <w:t xml:space="preserve"> </w:t>
      </w:r>
      <w:r w:rsidR="008B1C8B">
        <w:t>the ditch</w:t>
      </w:r>
      <w:r>
        <w:t xml:space="preserve"> </w:t>
      </w:r>
      <w:r w:rsidR="00C91A48">
        <w:t xml:space="preserve">itself </w:t>
      </w:r>
      <w:r>
        <w:t>is classified as a nontidal freshwater stream. The only other nontidal sampling station sele</w:t>
      </w:r>
      <w:r w:rsidR="00075557">
        <w:t xml:space="preserve">cted for monitoring is the EFU </w:t>
      </w:r>
      <w:r>
        <w:t>station. The remaining three sampl</w:t>
      </w:r>
      <w:r w:rsidR="00075557">
        <w:t>ing stations are designated as tidal. The WFL</w:t>
      </w:r>
      <w:r>
        <w:t xml:space="preserve"> </w:t>
      </w:r>
      <w:r w:rsidR="00075557">
        <w:t>station has</w:t>
      </w:r>
      <w:r>
        <w:t xml:space="preserve"> the strongest negative discharge</w:t>
      </w:r>
      <w:r w:rsidR="007A4438">
        <w:t xml:space="preserve"> measured during the sampling period</w:t>
      </w:r>
      <w:r w:rsidR="00A4088C">
        <w:t>. A negative discharge is defined as</w:t>
      </w:r>
      <w:r w:rsidR="007A4438">
        <w:t xml:space="preserve"> discharge moving from downstream towards upstream, caused by</w:t>
      </w:r>
      <w:r w:rsidR="00A4088C">
        <w:t xml:space="preserve"> an incoming tide </w:t>
      </w:r>
      <w:r w:rsidR="00C91A48">
        <w:lastRenderedPageBreak/>
        <w:t>from</w:t>
      </w:r>
      <w:r w:rsidR="00A4088C">
        <w:t xml:space="preserve"> Trinity Bay. </w:t>
      </w:r>
      <w:r>
        <w:t xml:space="preserve">Over the </w:t>
      </w:r>
      <w:r w:rsidR="00C91A48">
        <w:t xml:space="preserve">10 month </w:t>
      </w:r>
      <w:r>
        <w:t>study period</w:t>
      </w:r>
      <w:r w:rsidR="00C91A48">
        <w:t>,</w:t>
      </w:r>
      <w:r>
        <w:t xml:space="preserve"> the strongest tidally influenced negative discharge recorded at the WFL station was -207</w:t>
      </w:r>
      <w:r w:rsidR="00C91A48">
        <w:t xml:space="preserve"> cubic feet per second (</w:t>
      </w:r>
      <w:proofErr w:type="spellStart"/>
      <w:r w:rsidR="00C91A48">
        <w:t>cfs</w:t>
      </w:r>
      <w:proofErr w:type="spellEnd"/>
      <w:r w:rsidR="00C91A48">
        <w:t>)</w:t>
      </w:r>
      <w:r>
        <w:t>. Comparatively, the EFL station registered -49</w:t>
      </w:r>
      <w:r w:rsidR="007A4438">
        <w:t xml:space="preserve"> </w:t>
      </w:r>
      <w:proofErr w:type="spellStart"/>
      <w:r w:rsidR="007A4438">
        <w:t>cfs</w:t>
      </w:r>
      <w:proofErr w:type="spellEnd"/>
      <w:r w:rsidR="00AA6A0E">
        <w:t xml:space="preserve"> </w:t>
      </w:r>
      <w:r>
        <w:t>as its strongest tidal discharge; while a maximum discharge of -70</w:t>
      </w:r>
      <w:r w:rsidR="00C91A48">
        <w:t xml:space="preserve"> </w:t>
      </w:r>
      <w:proofErr w:type="spellStart"/>
      <w:r w:rsidR="00C91A48">
        <w:t>cfs</w:t>
      </w:r>
      <w:proofErr w:type="spellEnd"/>
      <w:r>
        <w:t xml:space="preserve"> was recorded at the WFU station. The degree of tidal influence is also evident in the disparity of the average salinity regime </w:t>
      </w:r>
      <w:r w:rsidR="00075557">
        <w:t>at the different sampling stations</w:t>
      </w:r>
      <w:r w:rsidR="009867B6">
        <w:t xml:space="preserve"> (</w:t>
      </w:r>
      <w:r w:rsidR="009867B6">
        <w:fldChar w:fldCharType="begin"/>
      </w:r>
      <w:r w:rsidR="009867B6">
        <w:instrText xml:space="preserve"> REF _Ref424200348 \h </w:instrText>
      </w:r>
      <w:r w:rsidR="009867B6">
        <w:fldChar w:fldCharType="separate"/>
      </w:r>
      <w:r w:rsidR="00FC1619">
        <w:t>Table 4-</w:t>
      </w:r>
      <w:r w:rsidR="00FC1619">
        <w:rPr>
          <w:noProof/>
        </w:rPr>
        <w:t>3</w:t>
      </w:r>
      <w:r w:rsidR="00FC1619">
        <w:t xml:space="preserve"> </w:t>
      </w:r>
      <w:r w:rsidR="00FC1619">
        <w:rPr>
          <w:noProof/>
        </w:rPr>
        <w:t>Mainstem stations average salinity</w:t>
      </w:r>
      <w:r w:rsidR="009867B6">
        <w:fldChar w:fldCharType="end"/>
      </w:r>
      <w:r w:rsidR="00F20C86">
        <w:t>)</w:t>
      </w:r>
      <w:r>
        <w:t xml:space="preserve">.  </w:t>
      </w:r>
    </w:p>
    <w:tbl>
      <w:tblPr>
        <w:tblW w:w="4480" w:type="dxa"/>
        <w:jc w:val="center"/>
        <w:tblLook w:val="04A0" w:firstRow="1" w:lastRow="0" w:firstColumn="1" w:lastColumn="0" w:noHBand="0" w:noVBand="1"/>
      </w:tblPr>
      <w:tblGrid>
        <w:gridCol w:w="2020"/>
        <w:gridCol w:w="2460"/>
      </w:tblGrid>
      <w:tr w:rsidR="000824E5" w:rsidRPr="00956C06" w14:paraId="3C44688E" w14:textId="77777777" w:rsidTr="008D19B0">
        <w:trPr>
          <w:trHeight w:val="315"/>
          <w:jc w:val="center"/>
        </w:trPr>
        <w:tc>
          <w:tcPr>
            <w:tcW w:w="20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0C84489" w14:textId="77777777" w:rsidR="000824E5" w:rsidRPr="00956C06" w:rsidRDefault="000824E5" w:rsidP="008D19B0">
            <w:pPr>
              <w:spacing w:after="0" w:line="240" w:lineRule="auto"/>
              <w:jc w:val="center"/>
              <w:rPr>
                <w:rFonts w:eastAsia="Times New Roman" w:cs="Times New Roman"/>
                <w:b/>
                <w:bCs/>
                <w:color w:val="auto"/>
                <w:szCs w:val="24"/>
              </w:rPr>
            </w:pPr>
            <w:r w:rsidRPr="00956C06">
              <w:rPr>
                <w:rFonts w:eastAsia="Times New Roman" w:cs="Times New Roman"/>
                <w:b/>
                <w:bCs/>
                <w:color w:val="auto"/>
                <w:szCs w:val="24"/>
              </w:rPr>
              <w:t>Station</w:t>
            </w:r>
          </w:p>
        </w:tc>
        <w:tc>
          <w:tcPr>
            <w:tcW w:w="2460" w:type="dxa"/>
            <w:tcBorders>
              <w:top w:val="single" w:sz="4" w:space="0" w:color="auto"/>
              <w:left w:val="nil"/>
              <w:bottom w:val="single" w:sz="4" w:space="0" w:color="auto"/>
              <w:right w:val="single" w:sz="4" w:space="0" w:color="auto"/>
            </w:tcBorders>
            <w:shd w:val="clear" w:color="000000" w:fill="BFBFBF"/>
            <w:vAlign w:val="center"/>
            <w:hideMark/>
          </w:tcPr>
          <w:p w14:paraId="3DFA0952" w14:textId="77777777" w:rsidR="000824E5" w:rsidRPr="00956C06" w:rsidRDefault="000824E5" w:rsidP="008D19B0">
            <w:pPr>
              <w:spacing w:after="0" w:line="240" w:lineRule="auto"/>
              <w:jc w:val="center"/>
              <w:rPr>
                <w:rFonts w:eastAsia="Times New Roman" w:cs="Times New Roman"/>
                <w:b/>
                <w:bCs/>
                <w:color w:val="auto"/>
                <w:szCs w:val="24"/>
              </w:rPr>
            </w:pPr>
            <w:r w:rsidRPr="00956C06">
              <w:rPr>
                <w:rFonts w:eastAsia="Times New Roman" w:cs="Times New Roman"/>
                <w:b/>
                <w:bCs/>
                <w:color w:val="auto"/>
                <w:szCs w:val="24"/>
              </w:rPr>
              <w:t>Average Salinity (PSU)</w:t>
            </w:r>
          </w:p>
        </w:tc>
      </w:tr>
      <w:tr w:rsidR="000824E5" w:rsidRPr="00956C06" w14:paraId="3AA7BE8B" w14:textId="77777777" w:rsidTr="000824E5">
        <w:trPr>
          <w:trHeight w:val="315"/>
          <w:jc w:val="center"/>
        </w:trPr>
        <w:tc>
          <w:tcPr>
            <w:tcW w:w="20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76BDA4B" w14:textId="77777777" w:rsidR="000824E5" w:rsidRPr="00956C06" w:rsidRDefault="000824E5" w:rsidP="008D19B0">
            <w:pPr>
              <w:spacing w:after="0" w:line="240" w:lineRule="auto"/>
              <w:rPr>
                <w:rFonts w:eastAsia="Times New Roman" w:cs="Times New Roman"/>
                <w:color w:val="auto"/>
                <w:szCs w:val="24"/>
              </w:rPr>
            </w:pPr>
            <w:r w:rsidRPr="00956C06">
              <w:rPr>
                <w:rFonts w:eastAsia="Times New Roman" w:cs="Times New Roman"/>
                <w:color w:val="auto"/>
                <w:szCs w:val="24"/>
              </w:rPr>
              <w:t>East For Upper</w:t>
            </w:r>
          </w:p>
        </w:tc>
        <w:tc>
          <w:tcPr>
            <w:tcW w:w="2460" w:type="dxa"/>
            <w:tcBorders>
              <w:top w:val="nil"/>
              <w:left w:val="nil"/>
              <w:bottom w:val="single" w:sz="4" w:space="0" w:color="auto"/>
              <w:right w:val="single" w:sz="4" w:space="0" w:color="auto"/>
            </w:tcBorders>
            <w:shd w:val="clear" w:color="auto" w:fill="F2F2F2" w:themeFill="background1" w:themeFillShade="F2"/>
            <w:noWrap/>
            <w:vAlign w:val="center"/>
            <w:hideMark/>
          </w:tcPr>
          <w:p w14:paraId="6FA22664" w14:textId="77777777" w:rsidR="000824E5" w:rsidRPr="00956C06" w:rsidRDefault="000824E5" w:rsidP="008D19B0">
            <w:pPr>
              <w:spacing w:after="0" w:line="240" w:lineRule="auto"/>
              <w:jc w:val="center"/>
              <w:rPr>
                <w:rFonts w:eastAsia="Times New Roman" w:cs="Times New Roman"/>
                <w:color w:val="auto"/>
                <w:szCs w:val="24"/>
              </w:rPr>
            </w:pPr>
            <w:r w:rsidRPr="00956C06">
              <w:rPr>
                <w:rFonts w:eastAsia="Times New Roman" w:cs="Times New Roman"/>
                <w:color w:val="auto"/>
                <w:szCs w:val="24"/>
              </w:rPr>
              <w:t xml:space="preserve">0.14 </w:t>
            </w:r>
          </w:p>
        </w:tc>
      </w:tr>
      <w:tr w:rsidR="000824E5" w:rsidRPr="00956C06" w14:paraId="3E5AB9B4" w14:textId="77777777" w:rsidTr="000824E5">
        <w:trPr>
          <w:trHeight w:val="315"/>
          <w:jc w:val="center"/>
        </w:trPr>
        <w:tc>
          <w:tcPr>
            <w:tcW w:w="20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045A9D8" w14:textId="77777777" w:rsidR="000824E5" w:rsidRPr="00956C06" w:rsidRDefault="000824E5" w:rsidP="008D19B0">
            <w:pPr>
              <w:spacing w:after="0" w:line="240" w:lineRule="auto"/>
              <w:rPr>
                <w:rFonts w:eastAsia="Times New Roman" w:cs="Times New Roman"/>
                <w:color w:val="auto"/>
                <w:szCs w:val="24"/>
              </w:rPr>
            </w:pPr>
            <w:r w:rsidRPr="00956C06">
              <w:rPr>
                <w:rFonts w:eastAsia="Times New Roman" w:cs="Times New Roman"/>
                <w:color w:val="auto"/>
                <w:szCs w:val="24"/>
              </w:rPr>
              <w:t>East Fork Lower</w:t>
            </w:r>
          </w:p>
        </w:tc>
        <w:tc>
          <w:tcPr>
            <w:tcW w:w="2460" w:type="dxa"/>
            <w:tcBorders>
              <w:top w:val="nil"/>
              <w:left w:val="nil"/>
              <w:bottom w:val="single" w:sz="4" w:space="0" w:color="auto"/>
              <w:right w:val="single" w:sz="4" w:space="0" w:color="auto"/>
            </w:tcBorders>
            <w:shd w:val="clear" w:color="auto" w:fill="F2F2F2" w:themeFill="background1" w:themeFillShade="F2"/>
            <w:noWrap/>
            <w:vAlign w:val="center"/>
            <w:hideMark/>
          </w:tcPr>
          <w:p w14:paraId="1B91AB06" w14:textId="77777777" w:rsidR="000824E5" w:rsidRPr="00956C06" w:rsidRDefault="000824E5" w:rsidP="008D19B0">
            <w:pPr>
              <w:spacing w:after="0" w:line="240" w:lineRule="auto"/>
              <w:jc w:val="center"/>
              <w:rPr>
                <w:rFonts w:eastAsia="Times New Roman" w:cs="Times New Roman"/>
                <w:color w:val="auto"/>
                <w:szCs w:val="24"/>
              </w:rPr>
            </w:pPr>
            <w:r w:rsidRPr="00956C06">
              <w:rPr>
                <w:rFonts w:eastAsia="Times New Roman" w:cs="Times New Roman"/>
                <w:color w:val="auto"/>
                <w:szCs w:val="24"/>
              </w:rPr>
              <w:t xml:space="preserve">0.89 </w:t>
            </w:r>
          </w:p>
        </w:tc>
      </w:tr>
      <w:tr w:rsidR="000824E5" w:rsidRPr="00956C06" w14:paraId="2EDA79B9" w14:textId="77777777" w:rsidTr="000824E5">
        <w:trPr>
          <w:trHeight w:val="315"/>
          <w:jc w:val="center"/>
        </w:trPr>
        <w:tc>
          <w:tcPr>
            <w:tcW w:w="20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99314E5" w14:textId="77777777" w:rsidR="000824E5" w:rsidRPr="00956C06" w:rsidRDefault="000824E5" w:rsidP="008D19B0">
            <w:pPr>
              <w:spacing w:after="0" w:line="240" w:lineRule="auto"/>
              <w:rPr>
                <w:rFonts w:eastAsia="Times New Roman" w:cs="Times New Roman"/>
                <w:color w:val="auto"/>
                <w:szCs w:val="24"/>
              </w:rPr>
            </w:pPr>
            <w:r w:rsidRPr="00956C06">
              <w:rPr>
                <w:rFonts w:eastAsia="Times New Roman" w:cs="Times New Roman"/>
                <w:color w:val="auto"/>
                <w:szCs w:val="24"/>
              </w:rPr>
              <w:t>West Fork Upper</w:t>
            </w:r>
          </w:p>
        </w:tc>
        <w:tc>
          <w:tcPr>
            <w:tcW w:w="2460" w:type="dxa"/>
            <w:tcBorders>
              <w:top w:val="nil"/>
              <w:left w:val="nil"/>
              <w:bottom w:val="single" w:sz="4" w:space="0" w:color="auto"/>
              <w:right w:val="single" w:sz="4" w:space="0" w:color="auto"/>
            </w:tcBorders>
            <w:shd w:val="clear" w:color="auto" w:fill="F2F2F2" w:themeFill="background1" w:themeFillShade="F2"/>
            <w:noWrap/>
            <w:vAlign w:val="center"/>
            <w:hideMark/>
          </w:tcPr>
          <w:p w14:paraId="5A955B40" w14:textId="77777777" w:rsidR="000824E5" w:rsidRPr="00956C06" w:rsidRDefault="000824E5" w:rsidP="008D19B0">
            <w:pPr>
              <w:spacing w:after="0" w:line="240" w:lineRule="auto"/>
              <w:jc w:val="center"/>
              <w:rPr>
                <w:rFonts w:eastAsia="Times New Roman" w:cs="Times New Roman"/>
                <w:color w:val="auto"/>
                <w:szCs w:val="24"/>
              </w:rPr>
            </w:pPr>
            <w:r w:rsidRPr="00956C06">
              <w:rPr>
                <w:rFonts w:eastAsia="Times New Roman" w:cs="Times New Roman"/>
                <w:color w:val="auto"/>
                <w:szCs w:val="24"/>
              </w:rPr>
              <w:t xml:space="preserve">0.21 </w:t>
            </w:r>
          </w:p>
        </w:tc>
      </w:tr>
      <w:tr w:rsidR="000824E5" w:rsidRPr="00956C06" w14:paraId="032212D1" w14:textId="77777777" w:rsidTr="000824E5">
        <w:trPr>
          <w:trHeight w:val="315"/>
          <w:jc w:val="center"/>
        </w:trPr>
        <w:tc>
          <w:tcPr>
            <w:tcW w:w="20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E7C6F06" w14:textId="77777777" w:rsidR="000824E5" w:rsidRPr="00956C06" w:rsidRDefault="000824E5" w:rsidP="008D19B0">
            <w:pPr>
              <w:spacing w:after="0" w:line="240" w:lineRule="auto"/>
              <w:rPr>
                <w:rFonts w:eastAsia="Times New Roman" w:cs="Times New Roman"/>
                <w:color w:val="auto"/>
                <w:szCs w:val="24"/>
              </w:rPr>
            </w:pPr>
            <w:r w:rsidRPr="00956C06">
              <w:rPr>
                <w:rFonts w:eastAsia="Times New Roman" w:cs="Times New Roman"/>
                <w:color w:val="auto"/>
                <w:szCs w:val="24"/>
              </w:rPr>
              <w:t>West Fork Lower</w:t>
            </w:r>
          </w:p>
        </w:tc>
        <w:tc>
          <w:tcPr>
            <w:tcW w:w="2460" w:type="dxa"/>
            <w:tcBorders>
              <w:top w:val="nil"/>
              <w:left w:val="nil"/>
              <w:bottom w:val="single" w:sz="4" w:space="0" w:color="auto"/>
              <w:right w:val="single" w:sz="4" w:space="0" w:color="auto"/>
            </w:tcBorders>
            <w:shd w:val="clear" w:color="auto" w:fill="F2F2F2" w:themeFill="background1" w:themeFillShade="F2"/>
            <w:noWrap/>
            <w:vAlign w:val="center"/>
            <w:hideMark/>
          </w:tcPr>
          <w:p w14:paraId="56BBF13A" w14:textId="77777777" w:rsidR="000824E5" w:rsidRPr="00956C06" w:rsidRDefault="000824E5" w:rsidP="009867B6">
            <w:pPr>
              <w:keepNext/>
              <w:spacing w:after="0" w:line="240" w:lineRule="auto"/>
              <w:jc w:val="center"/>
              <w:rPr>
                <w:rFonts w:eastAsia="Times New Roman" w:cs="Times New Roman"/>
                <w:color w:val="auto"/>
                <w:szCs w:val="24"/>
              </w:rPr>
            </w:pPr>
            <w:r w:rsidRPr="00956C06">
              <w:rPr>
                <w:rFonts w:eastAsia="Times New Roman" w:cs="Times New Roman"/>
                <w:color w:val="auto"/>
                <w:szCs w:val="24"/>
              </w:rPr>
              <w:t xml:space="preserve">6.86 </w:t>
            </w:r>
          </w:p>
        </w:tc>
      </w:tr>
    </w:tbl>
    <w:p w14:paraId="2BD6F21C" w14:textId="5695BD4B" w:rsidR="009867B6" w:rsidRDefault="00385793" w:rsidP="009867B6">
      <w:pPr>
        <w:pStyle w:val="Caption"/>
        <w:spacing w:before="240"/>
      </w:pPr>
      <w:bookmarkStart w:id="9" w:name="_Ref424200348"/>
      <w:r>
        <w:t>Table 4-</w:t>
      </w:r>
      <w:r w:rsidR="00FC1619">
        <w:fldChar w:fldCharType="begin"/>
      </w:r>
      <w:r w:rsidR="00FC1619">
        <w:instrText xml:space="preserve"> SEQ Table_4- \* ARABIC </w:instrText>
      </w:r>
      <w:r w:rsidR="00FC1619">
        <w:fldChar w:fldCharType="separate"/>
      </w:r>
      <w:r w:rsidR="00FC1619">
        <w:rPr>
          <w:noProof/>
        </w:rPr>
        <w:t>3</w:t>
      </w:r>
      <w:r w:rsidR="00FC1619">
        <w:rPr>
          <w:noProof/>
        </w:rPr>
        <w:fldChar w:fldCharType="end"/>
      </w:r>
      <w:r w:rsidR="009867B6">
        <w:t xml:space="preserve"> </w:t>
      </w:r>
      <w:r w:rsidR="009867B6">
        <w:rPr>
          <w:noProof/>
        </w:rPr>
        <w:t>Mainstem stations average salinity</w:t>
      </w:r>
      <w:bookmarkEnd w:id="9"/>
    </w:p>
    <w:p w14:paraId="5B3A66C2" w14:textId="3EF4D91F" w:rsidR="0091149C" w:rsidRPr="00946E1B" w:rsidRDefault="001A7282" w:rsidP="00226F78">
      <w:r>
        <w:t>See Chapter 5</w:t>
      </w:r>
      <w:r w:rsidR="007A4438">
        <w:t>, Section 5.9.1 Tidal Influence,</w:t>
      </w:r>
      <w:r>
        <w:t xml:space="preserve"> for a detailed discussion on t</w:t>
      </w:r>
      <w:r w:rsidR="000824E5">
        <w:t>idal mixing and how it affects constituents compared to typical nontidal flow</w:t>
      </w:r>
      <w:r>
        <w:t>.</w:t>
      </w:r>
    </w:p>
    <w:p w14:paraId="4A5A9711" w14:textId="77777777" w:rsidR="00806D20" w:rsidRDefault="00806D20" w:rsidP="00AD610F">
      <w:pPr>
        <w:pStyle w:val="Heading2"/>
      </w:pPr>
      <w:bookmarkStart w:id="10" w:name="_Toc424194273"/>
      <w:r>
        <w:t>Precipitation</w:t>
      </w:r>
      <w:bookmarkEnd w:id="10"/>
      <w:r>
        <w:t xml:space="preserve"> </w:t>
      </w:r>
    </w:p>
    <w:p w14:paraId="163D4926" w14:textId="5D849AF1" w:rsidR="003B7526" w:rsidRDefault="003B7526" w:rsidP="000413B3">
      <w:r w:rsidRPr="00BA1F76">
        <w:t>The Anahuac rain gauge has been operational since March of 1931</w:t>
      </w:r>
      <w:r>
        <w:t xml:space="preserve"> and is l</w:t>
      </w:r>
      <w:r w:rsidRPr="00BA1F76">
        <w:t xml:space="preserve">ocated east </w:t>
      </w:r>
      <w:r>
        <w:t xml:space="preserve">of the City of </w:t>
      </w:r>
      <w:r w:rsidRPr="00BA1F76">
        <w:t>Anahuac</w:t>
      </w:r>
      <w:r w:rsidR="000413B3">
        <w:t xml:space="preserve"> (</w:t>
      </w:r>
      <w:r w:rsidR="000413B3">
        <w:fldChar w:fldCharType="begin"/>
      </w:r>
      <w:r w:rsidR="000413B3">
        <w:instrText xml:space="preserve"> REF _Ref426376977 \h </w:instrText>
      </w:r>
      <w:r w:rsidR="000413B3">
        <w:fldChar w:fldCharType="separate"/>
      </w:r>
      <w:r w:rsidR="00FC1619">
        <w:t>Figure 4-</w:t>
      </w:r>
      <w:r w:rsidR="00FC1619">
        <w:rPr>
          <w:noProof/>
        </w:rPr>
        <w:t>2</w:t>
      </w:r>
      <w:r w:rsidR="00FC1619">
        <w:t xml:space="preserve"> </w:t>
      </w:r>
      <w:r w:rsidR="00FC1619">
        <w:rPr>
          <w:noProof/>
        </w:rPr>
        <w:t>Double</w:t>
      </w:r>
      <w:r w:rsidR="00FC1619">
        <w:t xml:space="preserve"> Bayou sampling stations</w:t>
      </w:r>
      <w:r w:rsidR="000413B3">
        <w:fldChar w:fldCharType="end"/>
      </w:r>
      <w:r w:rsidR="000413B3">
        <w:t>)</w:t>
      </w:r>
      <w:r w:rsidR="001F1303">
        <w:t xml:space="preserve">. </w:t>
      </w:r>
      <w:r>
        <w:t>The precipitation data w</w:t>
      </w:r>
      <w:r w:rsidR="001A7282">
        <w:t>ere</w:t>
      </w:r>
      <w:r>
        <w:t xml:space="preserve"> downloaded from NOAA’s online climate data portal and used for analysis</w:t>
      </w:r>
      <w:r w:rsidR="001A7282">
        <w:t>.</w:t>
      </w:r>
      <w:r>
        <w:t xml:space="preserve"> </w:t>
      </w:r>
      <w:r w:rsidR="001A7282">
        <w:t>The data were analyzed to determine</w:t>
      </w:r>
      <w:r>
        <w:t xml:space="preserve"> the number of days since last rainfall, which can provide valuable insight to the effects of rainfall on nonpoint source runoff into the bayou. </w:t>
      </w:r>
    </w:p>
    <w:p w14:paraId="10623DDF" w14:textId="05274E39" w:rsidR="00806D20" w:rsidRDefault="00AC6551" w:rsidP="000413B3">
      <w:r>
        <w:t>Prec</w:t>
      </w:r>
      <w:r w:rsidR="005D45D0">
        <w:t>ipitation analysis is crucial when</w:t>
      </w:r>
      <w:r>
        <w:t xml:space="preserve"> analyzing water quality data, as the impact of rain events can</w:t>
      </w:r>
      <w:r w:rsidR="00AA129F">
        <w:t xml:space="preserve"> </w:t>
      </w:r>
      <w:r w:rsidR="001A7282">
        <w:t xml:space="preserve">impact </w:t>
      </w:r>
      <w:r w:rsidR="00AA129F">
        <w:t>water quality results</w:t>
      </w:r>
      <w:r w:rsidR="009B5208">
        <w:t xml:space="preserve"> (</w:t>
      </w:r>
      <w:r w:rsidR="000413B3">
        <w:fldChar w:fldCharType="begin"/>
      </w:r>
      <w:r w:rsidR="000413B3">
        <w:instrText xml:space="preserve"> REF _Ref426377002 \h </w:instrText>
      </w:r>
      <w:r w:rsidR="000413B3">
        <w:fldChar w:fldCharType="separate"/>
      </w:r>
      <w:r w:rsidR="00FC1619">
        <w:t>Figure 4-</w:t>
      </w:r>
      <w:r w:rsidR="00FC1619">
        <w:rPr>
          <w:noProof/>
        </w:rPr>
        <w:t>3</w:t>
      </w:r>
      <w:r w:rsidR="00FC1619" w:rsidRPr="00D00F7B">
        <w:t xml:space="preserve"> </w:t>
      </w:r>
      <w:r w:rsidR="00FC1619">
        <w:t>Precipitation in Double Bayou</w:t>
      </w:r>
      <w:r w:rsidR="000413B3">
        <w:fldChar w:fldCharType="end"/>
      </w:r>
      <w:r w:rsidR="009B5208">
        <w:t>)</w:t>
      </w:r>
      <w:r w:rsidR="00AA129F">
        <w:t xml:space="preserve">. </w:t>
      </w:r>
      <w:r>
        <w:t xml:space="preserve">Larger rain events increase surface runoff, which can </w:t>
      </w:r>
      <w:r w:rsidR="00A26656">
        <w:t>result in larger amounts of non</w:t>
      </w:r>
      <w:r>
        <w:t xml:space="preserve">point source pollutants flowing into the bayous. The amount of time between rain events can also impact water quality results. </w:t>
      </w:r>
      <w:r w:rsidR="00806D20">
        <w:t>Typically, as the amount of days since last rainfall (DSLR) increases</w:t>
      </w:r>
      <w:r>
        <w:t>,</w:t>
      </w:r>
      <w:r w:rsidR="00806D20">
        <w:t xml:space="preserve"> higher levels of nonpoint source pollutant</w:t>
      </w:r>
      <w:r>
        <w:t>s</w:t>
      </w:r>
      <w:r w:rsidR="00806D20">
        <w:t xml:space="preserve"> can be washed into the bayou because the pollutants accumulate on the ground during the period of no rain. A combination of greater length of DSLR followed by an intense wet weather event </w:t>
      </w:r>
      <w:r w:rsidR="00596652">
        <w:t xml:space="preserve">can </w:t>
      </w:r>
      <w:r w:rsidR="00876071">
        <w:t>intensify the</w:t>
      </w:r>
      <w:r w:rsidR="00596652">
        <w:t xml:space="preserve"> impact</w:t>
      </w:r>
      <w:r w:rsidR="00806D20">
        <w:t xml:space="preserve"> on the concentrations of nonpoint water quality pollutants in the bayous. </w:t>
      </w:r>
    </w:p>
    <w:p w14:paraId="03C47B79" w14:textId="0B147107" w:rsidR="00B743D9" w:rsidRDefault="00AC6551" w:rsidP="00B743D9">
      <w:r>
        <w:t>An example of this in Double Bayou was t</w:t>
      </w:r>
      <w:r w:rsidRPr="00C75E21">
        <w:t xml:space="preserve">he sampling event </w:t>
      </w:r>
      <w:r>
        <w:t xml:space="preserve">on </w:t>
      </w:r>
      <w:r w:rsidRPr="00C75E21">
        <w:t>5/13/2014. Prior to this targeted sampling event</w:t>
      </w:r>
      <w:r w:rsidR="00876071">
        <w:t>,</w:t>
      </w:r>
      <w:r w:rsidRPr="00C75E21">
        <w:t xml:space="preserve"> 27 days had passed since the last rainfall. On 5/13/2014</w:t>
      </w:r>
      <w:r>
        <w:t>,</w:t>
      </w:r>
      <w:r w:rsidRPr="00C75E21">
        <w:t xml:space="preserve"> 1.10 inches of rain was received. The combination of the </w:t>
      </w:r>
      <w:r w:rsidR="002C38BD" w:rsidRPr="00C75E21">
        <w:t>large</w:t>
      </w:r>
      <w:r w:rsidRPr="00C75E21">
        <w:t xml:space="preserve"> wet weather event and great amount of DSLR can lead to high bacteria contributions </w:t>
      </w:r>
      <w:r w:rsidR="00E838ED">
        <w:t xml:space="preserve">that are </w:t>
      </w:r>
      <w:r w:rsidRPr="00C75E21">
        <w:t>flushed into the bayous because the bacteria is allowed to build before</w:t>
      </w:r>
      <w:r w:rsidR="00E838ED">
        <w:t xml:space="preserve"> being effectively flushed by the </w:t>
      </w:r>
      <w:r w:rsidRPr="00C75E21">
        <w:t>large precipitation event.</w:t>
      </w:r>
    </w:p>
    <w:p w14:paraId="11D7AE01" w14:textId="77777777" w:rsidR="00D00F7B" w:rsidRDefault="00B743D9" w:rsidP="00D00F7B">
      <w:pPr>
        <w:keepNext/>
        <w:jc w:val="center"/>
      </w:pPr>
      <w:r>
        <w:rPr>
          <w:noProof/>
        </w:rPr>
        <w:lastRenderedPageBreak/>
        <w:drawing>
          <wp:inline distT="0" distB="0" distL="0" distR="0" wp14:anchorId="1D6A7E5E" wp14:editId="763BE394">
            <wp:extent cx="5916168" cy="3447288"/>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CP.PNG"/>
                    <pic:cNvPicPr/>
                  </pic:nvPicPr>
                  <pic:blipFill rotWithShape="1">
                    <a:blip r:embed="rId10">
                      <a:extLst>
                        <a:ext uri="{28A0092B-C50C-407E-A947-70E740481C1C}">
                          <a14:useLocalDpi xmlns:a14="http://schemas.microsoft.com/office/drawing/2010/main" val="0"/>
                        </a:ext>
                      </a:extLst>
                    </a:blip>
                    <a:srcRect l="1042" t="1084" r="1122" b="2385"/>
                    <a:stretch/>
                  </pic:blipFill>
                  <pic:spPr bwMode="auto">
                    <a:xfrm>
                      <a:off x="0" y="0"/>
                      <a:ext cx="5916168" cy="3447288"/>
                    </a:xfrm>
                    <a:prstGeom prst="rect">
                      <a:avLst/>
                    </a:prstGeom>
                    <a:ln>
                      <a:noFill/>
                    </a:ln>
                    <a:extLst>
                      <a:ext uri="{53640926-AAD7-44D8-BBD7-CCE9431645EC}">
                        <a14:shadowObscured xmlns:a14="http://schemas.microsoft.com/office/drawing/2010/main"/>
                      </a:ext>
                    </a:extLst>
                  </pic:spPr>
                </pic:pic>
              </a:graphicData>
            </a:graphic>
          </wp:inline>
        </w:drawing>
      </w:r>
    </w:p>
    <w:p w14:paraId="69EF0B8A" w14:textId="4590A4D4" w:rsidR="009B5208" w:rsidRDefault="00D00F7B" w:rsidP="00D00F7B">
      <w:pPr>
        <w:pStyle w:val="Caption"/>
      </w:pPr>
      <w:bookmarkStart w:id="11" w:name="_Ref426377002"/>
      <w:r>
        <w:t>Figure 4-</w:t>
      </w:r>
      <w:r w:rsidR="00FC1619">
        <w:fldChar w:fldCharType="begin"/>
      </w:r>
      <w:r w:rsidR="00FC1619">
        <w:instrText xml:space="preserve"> SEQ Figure_4- \* ARABIC </w:instrText>
      </w:r>
      <w:r w:rsidR="00FC1619">
        <w:fldChar w:fldCharType="separate"/>
      </w:r>
      <w:r w:rsidR="00FC1619">
        <w:rPr>
          <w:noProof/>
        </w:rPr>
        <w:t>3</w:t>
      </w:r>
      <w:r w:rsidR="00FC1619">
        <w:rPr>
          <w:noProof/>
        </w:rPr>
        <w:fldChar w:fldCharType="end"/>
      </w:r>
      <w:r w:rsidRPr="00D00F7B">
        <w:t xml:space="preserve"> </w:t>
      </w:r>
      <w:r>
        <w:t>Precipitation in Double Bayou</w:t>
      </w:r>
      <w:bookmarkEnd w:id="11"/>
    </w:p>
    <w:p w14:paraId="65B80749" w14:textId="55254923" w:rsidR="00AC6551" w:rsidRDefault="00AC6551" w:rsidP="00AD610F">
      <w:pPr>
        <w:pStyle w:val="Heading2"/>
      </w:pPr>
      <w:bookmarkStart w:id="12" w:name="_Toc424194274"/>
      <w:r>
        <w:t>Dissolved Oxygen</w:t>
      </w:r>
      <w:bookmarkEnd w:id="12"/>
    </w:p>
    <w:p w14:paraId="5B0E23F7" w14:textId="05C12AED" w:rsidR="006D5ACD" w:rsidRDefault="00AC6551" w:rsidP="00B069B6">
      <w:r>
        <w:t xml:space="preserve">Dissolved oxygen (DO) is a commonly monitored water quality indicator that is crucial for the survival of all aquatic life. The concentration of dissolved oxygen in a waterbody is typically considered optimal for aquatic life </w:t>
      </w:r>
      <w:r w:rsidR="009562EF">
        <w:t xml:space="preserve">at concentrations </w:t>
      </w:r>
      <w:r>
        <w:t>above 6 mg/L</w:t>
      </w:r>
      <w:r w:rsidR="009562EF">
        <w:t xml:space="preserve">; </w:t>
      </w:r>
      <w:r>
        <w:t>aquatic organisms will become stressed at concentrations between 4 and 5 mg/L</w:t>
      </w:r>
      <w:r w:rsidR="009562EF">
        <w:t>;</w:t>
      </w:r>
      <w:r>
        <w:t xml:space="preserve"> and the loss of aquatic life is probable below 3 mg/L. </w:t>
      </w:r>
      <w:r w:rsidR="006D5ACD">
        <w:t xml:space="preserve">The </w:t>
      </w:r>
      <w:r w:rsidR="00B069B6">
        <w:t>criterion</w:t>
      </w:r>
      <w:r w:rsidR="006D5ACD">
        <w:t xml:space="preserve"> used by the TCEQ to determine if a waterbody is impaired is below 3 mg/L, which is based on the </w:t>
      </w:r>
      <w:r w:rsidR="009562EF">
        <w:t xml:space="preserve">increased stress </w:t>
      </w:r>
      <w:r w:rsidR="006D5ACD">
        <w:t>o</w:t>
      </w:r>
      <w:r w:rsidR="009562EF">
        <w:t>n</w:t>
      </w:r>
      <w:r w:rsidR="006D5ACD">
        <w:t xml:space="preserve"> aquatic organisms below this threshold. The DO </w:t>
      </w:r>
      <w:r w:rsidR="00B069B6">
        <w:t>criterion</w:t>
      </w:r>
      <w:r w:rsidR="006D5ACD">
        <w:t xml:space="preserve"> is unique because the sample must be less than the threshold of 3 mg/L to be considered as an exceedance compared to most other water quality indicators which have to </w:t>
      </w:r>
      <w:r w:rsidR="001F4E44">
        <w:t xml:space="preserve">exceed </w:t>
      </w:r>
      <w:r w:rsidR="006D5ACD">
        <w:t xml:space="preserve">the designated </w:t>
      </w:r>
      <w:r w:rsidR="00B069B6">
        <w:t>criterion</w:t>
      </w:r>
      <w:r w:rsidR="006D5ACD">
        <w:t>.</w:t>
      </w:r>
    </w:p>
    <w:p w14:paraId="1C2605FC" w14:textId="713982D1" w:rsidR="00B83854" w:rsidRDefault="00AC6551" w:rsidP="000413B3">
      <w:r>
        <w:t>The concentration of DO in a waterbody can fluctuate depending on</w:t>
      </w:r>
      <w:r w:rsidR="00BA0BDD">
        <w:t xml:space="preserve"> several environmental factors </w:t>
      </w:r>
      <w:r>
        <w:t>including the temperature and salinity of the water and the time of day. Due to temporal variations</w:t>
      </w:r>
      <w:r w:rsidR="009562EF">
        <w:t>,</w:t>
      </w:r>
      <w:r>
        <w:t xml:space="preserve"> DO can fluctuate from season to season. The lowest DO levels are typically observed during the hottest months of the year while the highest DO levels are during the coldest time of the year, because colder water can hold more dissolved oxygen. Over the sampling period</w:t>
      </w:r>
      <w:r w:rsidR="001F4E44">
        <w:t xml:space="preserve"> (10/22/2013-5/20/2015)</w:t>
      </w:r>
      <w:r w:rsidR="003E23C5">
        <w:t>,</w:t>
      </w:r>
      <w:r>
        <w:t xml:space="preserve"> the average concentration of DO in the Double Bayou watershed</w:t>
      </w:r>
      <w:r w:rsidR="004F4DC5">
        <w:t xml:space="preserve"> (all stations)</w:t>
      </w:r>
      <w:r>
        <w:t xml:space="preserve"> was</w:t>
      </w:r>
      <w:r w:rsidR="006D5ACD">
        <w:t xml:space="preserve"> 6.2 </w:t>
      </w:r>
      <w:r>
        <w:t>mg/L. The h</w:t>
      </w:r>
      <w:r w:rsidR="006D5ACD">
        <w:t xml:space="preserve">ighest DO concentration was 12.6 mg/L while, the lowest was 0.8 </w:t>
      </w:r>
      <w:r>
        <w:t xml:space="preserve">mg/L. </w:t>
      </w:r>
      <w:r w:rsidR="00791051">
        <w:t>During the sampling period</w:t>
      </w:r>
      <w:r w:rsidR="009562EF">
        <w:t>,</w:t>
      </w:r>
      <w:r w:rsidR="00791051">
        <w:t xml:space="preserve"> 18 routine and targeted samples </w:t>
      </w:r>
      <w:r w:rsidR="00C4232D">
        <w:t>(10</w:t>
      </w:r>
      <w:r>
        <w:t xml:space="preserve">%) </w:t>
      </w:r>
      <w:r w:rsidR="009562EF">
        <w:t xml:space="preserve">were below </w:t>
      </w:r>
      <w:r>
        <w:t xml:space="preserve">the TCEQ </w:t>
      </w:r>
      <w:r w:rsidR="00B069B6">
        <w:t>criterion</w:t>
      </w:r>
      <w:r>
        <w:t xml:space="preserve"> of 3 mg/L</w:t>
      </w:r>
      <w:r w:rsidR="009B5208">
        <w:t xml:space="preserve"> (</w:t>
      </w:r>
      <w:r w:rsidR="000413B3">
        <w:fldChar w:fldCharType="begin"/>
      </w:r>
      <w:r w:rsidR="000413B3">
        <w:instrText xml:space="preserve"> REF _Ref426377043 \h </w:instrText>
      </w:r>
      <w:r w:rsidR="000413B3">
        <w:fldChar w:fldCharType="separate"/>
      </w:r>
      <w:r w:rsidR="00FC1619">
        <w:t>Figure 4-</w:t>
      </w:r>
      <w:r w:rsidR="00FC1619">
        <w:rPr>
          <w:noProof/>
        </w:rPr>
        <w:t>4</w:t>
      </w:r>
      <w:r w:rsidR="00FC1619">
        <w:t xml:space="preserve"> Double Bayou dissolved oxygen results</w:t>
      </w:r>
      <w:r w:rsidR="000413B3">
        <w:fldChar w:fldCharType="end"/>
      </w:r>
      <w:r w:rsidR="000413B3">
        <w:t>)</w:t>
      </w:r>
      <w:r>
        <w:t xml:space="preserve">. </w:t>
      </w:r>
      <w:r w:rsidR="005D17D8">
        <w:t xml:space="preserve">The EFU station had the highest </w:t>
      </w:r>
      <w:r w:rsidR="009562EF">
        <w:t xml:space="preserve">percentage of samples below the TCEQ </w:t>
      </w:r>
      <w:r w:rsidR="00B069B6">
        <w:t>criterion</w:t>
      </w:r>
      <w:r w:rsidR="005D17D8">
        <w:t xml:space="preserve"> at 29%. No dissolved oxygen </w:t>
      </w:r>
      <w:r w:rsidR="009562EF">
        <w:t xml:space="preserve">samples below the </w:t>
      </w:r>
      <w:r w:rsidR="00B069B6">
        <w:t>criterion</w:t>
      </w:r>
      <w:r w:rsidR="009562EF">
        <w:t xml:space="preserve"> </w:t>
      </w:r>
      <w:r w:rsidR="005D17D8">
        <w:t>were recorded at the WWTF station</w:t>
      </w:r>
      <w:r w:rsidR="00F6324A">
        <w:t xml:space="preserve"> while 2 were re</w:t>
      </w:r>
      <w:r w:rsidR="004C3FCC">
        <w:t xml:space="preserve">corded at the EFL station, 4 at </w:t>
      </w:r>
      <w:r w:rsidR="00F6324A">
        <w:t xml:space="preserve">WFU and 1 at WFL. </w:t>
      </w:r>
    </w:p>
    <w:p w14:paraId="256372E9" w14:textId="708AD72D" w:rsidR="00B83854" w:rsidRDefault="00D00F7B" w:rsidP="0022065F">
      <w:r>
        <w:rPr>
          <w:noProof/>
        </w:rPr>
        <w:lastRenderedPageBreak/>
        <mc:AlternateContent>
          <mc:Choice Requires="wps">
            <w:drawing>
              <wp:anchor distT="0" distB="0" distL="114300" distR="114300" simplePos="0" relativeHeight="251671552" behindDoc="0" locked="0" layoutInCell="1" allowOverlap="1" wp14:anchorId="196DC998" wp14:editId="4870149F">
                <wp:simplePos x="0" y="0"/>
                <wp:positionH relativeFrom="column">
                  <wp:posOffset>828040</wp:posOffset>
                </wp:positionH>
                <wp:positionV relativeFrom="paragraph">
                  <wp:posOffset>5440045</wp:posOffset>
                </wp:positionV>
                <wp:extent cx="428815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4288155" cy="635"/>
                        </a:xfrm>
                        <a:prstGeom prst="rect">
                          <a:avLst/>
                        </a:prstGeom>
                        <a:solidFill>
                          <a:prstClr val="white"/>
                        </a:solidFill>
                        <a:ln>
                          <a:noFill/>
                        </a:ln>
                        <a:effectLst/>
                      </wps:spPr>
                      <wps:txbx>
                        <w:txbxContent>
                          <w:p w14:paraId="2AB4AE2E" w14:textId="0AF7B165" w:rsidR="00D00F7B" w:rsidRPr="00B64AA7" w:rsidRDefault="00D00F7B" w:rsidP="00D00F7B">
                            <w:pPr>
                              <w:pStyle w:val="Caption"/>
                              <w:rPr>
                                <w:noProof/>
                                <w:color w:val="000000" w:themeColor="text1"/>
                                <w:sz w:val="24"/>
                              </w:rPr>
                            </w:pPr>
                            <w:bookmarkStart w:id="13" w:name="_Ref426377043"/>
                            <w:r>
                              <w:t>Figure 4-</w:t>
                            </w:r>
                            <w:r w:rsidR="00FC1619">
                              <w:fldChar w:fldCharType="begin"/>
                            </w:r>
                            <w:r w:rsidR="00FC1619">
                              <w:instrText xml:space="preserve"> SEQ Figure_4- \* ARABIC </w:instrText>
                            </w:r>
                            <w:r w:rsidR="00FC1619">
                              <w:fldChar w:fldCharType="separate"/>
                            </w:r>
                            <w:r w:rsidR="00FC1619">
                              <w:rPr>
                                <w:noProof/>
                              </w:rPr>
                              <w:t>4</w:t>
                            </w:r>
                            <w:r w:rsidR="00FC1619">
                              <w:rPr>
                                <w:noProof/>
                              </w:rPr>
                              <w:fldChar w:fldCharType="end"/>
                            </w:r>
                            <w:r>
                              <w:t xml:space="preserve"> Double Bayou dissolved oxygen results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6DC998" id="Text Box 8" o:spid="_x0000_s1027" type="#_x0000_t202" style="position:absolute;margin-left:65.2pt;margin-top:428.35pt;width:337.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" stroked="f">
                <v:textbox style="mso-fit-shape-to-text:t" inset="0,0,0,0">
                  <w:txbxContent>
                    <w:p w14:paraId="2AB4AE2E" w14:textId="0AF7B165" w:rsidR="00D00F7B" w:rsidRPr="00B64AA7" w:rsidRDefault="00D00F7B" w:rsidP="00D00F7B">
                      <w:pPr>
                        <w:pStyle w:val="Caption"/>
                        <w:rPr>
                          <w:noProof/>
                          <w:color w:val="000000" w:themeColor="text1"/>
                          <w:sz w:val="24"/>
                        </w:rPr>
                      </w:pPr>
                      <w:bookmarkStart w:id="14" w:name="_Ref426377043"/>
                      <w:r>
                        <w:t>Figure 4-</w:t>
                      </w:r>
                      <w:r w:rsidR="00FC1619">
                        <w:fldChar w:fldCharType="begin"/>
                      </w:r>
                      <w:r w:rsidR="00FC1619">
                        <w:instrText xml:space="preserve"> SEQ Figure_4- \* ARABIC </w:instrText>
                      </w:r>
                      <w:r w:rsidR="00FC1619">
                        <w:fldChar w:fldCharType="separate"/>
                      </w:r>
                      <w:r w:rsidR="00FC1619">
                        <w:rPr>
                          <w:noProof/>
                        </w:rPr>
                        <w:t>4</w:t>
                      </w:r>
                      <w:r w:rsidR="00FC1619">
                        <w:rPr>
                          <w:noProof/>
                        </w:rPr>
                        <w:fldChar w:fldCharType="end"/>
                      </w:r>
                      <w:r>
                        <w:t xml:space="preserve"> Double Bayou dissolved oxygen results</w:t>
                      </w:r>
                      <w:bookmarkEnd w:id="14"/>
                    </w:p>
                  </w:txbxContent>
                </v:textbox>
                <w10:wrap type="topAndBottom"/>
              </v:shape>
            </w:pict>
          </mc:Fallback>
        </mc:AlternateContent>
      </w:r>
      <w:r w:rsidR="00B83854" w:rsidRPr="00796C9F">
        <w:rPr>
          <w:noProof/>
        </w:rPr>
        <w:drawing>
          <wp:anchor distT="0" distB="0" distL="114300" distR="114300" simplePos="0" relativeHeight="251661312" behindDoc="0" locked="0" layoutInCell="1" allowOverlap="1" wp14:anchorId="23C5FC28" wp14:editId="5FD01DD4">
            <wp:simplePos x="0" y="0"/>
            <wp:positionH relativeFrom="margin">
              <wp:align>center</wp:align>
            </wp:positionH>
            <wp:positionV relativeFrom="paragraph">
              <wp:posOffset>180340</wp:posOffset>
            </wp:positionV>
            <wp:extent cx="4288155" cy="5202555"/>
            <wp:effectExtent l="0" t="0" r="0" b="0"/>
            <wp:wrapTopAndBottom/>
            <wp:docPr id="5" name="Picture 5" descr="C:\Users\rbare\AppData\Local\Microsoft\Windows\Temporary Internet Files\Content.Outlook\6C0H4H0D\dbdo (000000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rbare\AppData\Local\Microsoft\Windows\Temporary Internet Files\Content.Outlook\6C0H4H0D\dbdo (0000000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626"/>
                    <a:stretch/>
                  </pic:blipFill>
                  <pic:spPr bwMode="auto">
                    <a:xfrm>
                      <a:off x="0" y="0"/>
                      <a:ext cx="4288155" cy="5202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7CC81" w14:textId="0F9D306E" w:rsidR="00AC6551" w:rsidRDefault="005335E4" w:rsidP="00F36226">
      <w:r>
        <w:t xml:space="preserve">Dissolved oxygen is a not a pollutant </w:t>
      </w:r>
      <w:r w:rsidR="009562EF">
        <w:t xml:space="preserve">but rather a marker to indicate water quality and health for aquatic life. </w:t>
      </w:r>
      <w:r w:rsidR="00F36226">
        <w:t xml:space="preserve">Low dissolved oxygen can be due to a number </w:t>
      </w:r>
      <w:r w:rsidR="008C56D1">
        <w:t>of other factors in the bayous.</w:t>
      </w:r>
      <w:r w:rsidR="00F36226">
        <w:t xml:space="preserve"> One factor can be high bacteria levels, since an increase in bacteria will often lead to higher consumption of oxygen which will result in low dissolved oxygen levels. </w:t>
      </w:r>
      <w:r>
        <w:t xml:space="preserve">The water quality management </w:t>
      </w:r>
      <w:r w:rsidR="007D723B">
        <w:t>measures discussed in Chapters 6 and 7</w:t>
      </w:r>
      <w:r>
        <w:t xml:space="preserve"> will be targeted towards bacteria, but their benefits will also </w:t>
      </w:r>
      <w:r w:rsidR="009562EF">
        <w:t xml:space="preserve">extend to mitigating lower </w:t>
      </w:r>
      <w:r>
        <w:t>dissolved oxygen</w:t>
      </w:r>
      <w:r w:rsidR="009562EF">
        <w:t xml:space="preserve"> levels</w:t>
      </w:r>
      <w:r>
        <w:t>.</w:t>
      </w:r>
    </w:p>
    <w:p w14:paraId="22AB7AFF" w14:textId="30E7271D" w:rsidR="00C56A91" w:rsidRDefault="00ED2017" w:rsidP="00AD610F">
      <w:pPr>
        <w:pStyle w:val="Heading2"/>
      </w:pPr>
      <w:bookmarkStart w:id="15" w:name="_Toc424194275"/>
      <w:r>
        <w:t>24-</w:t>
      </w:r>
      <w:r w:rsidR="00C56A91">
        <w:t xml:space="preserve">hour </w:t>
      </w:r>
      <w:r w:rsidR="009562EF">
        <w:t>Dissolved Oxygen S</w:t>
      </w:r>
      <w:r w:rsidR="00C56A91">
        <w:t>ampling</w:t>
      </w:r>
      <w:bookmarkEnd w:id="15"/>
      <w:r w:rsidR="00C56A91">
        <w:t xml:space="preserve"> </w:t>
      </w:r>
    </w:p>
    <w:p w14:paraId="19869AE4" w14:textId="49187D88" w:rsidR="00B10358" w:rsidRDefault="005D5E6B" w:rsidP="00385793">
      <w:r>
        <w:t>In addition</w:t>
      </w:r>
      <w:r w:rsidR="00CA6D6E">
        <w:t xml:space="preserve"> to</w:t>
      </w:r>
      <w:r>
        <w:t xml:space="preserve"> the targeted and routine sampling</w:t>
      </w:r>
      <w:r w:rsidR="00B10358">
        <w:t>,</w:t>
      </w:r>
      <w:r>
        <w:t xml:space="preserve"> </w:t>
      </w:r>
      <w:r w:rsidR="003F10D4">
        <w:t>twelve</w:t>
      </w:r>
      <w:r w:rsidR="00B10358">
        <w:t xml:space="preserve"> 24-</w:t>
      </w:r>
      <w:r>
        <w:t xml:space="preserve">hour </w:t>
      </w:r>
      <w:r w:rsidR="00B10358" w:rsidRPr="00B10358">
        <w:t xml:space="preserve">multi-probe </w:t>
      </w:r>
      <w:r>
        <w:t xml:space="preserve">soaks </w:t>
      </w:r>
      <w:r w:rsidR="00B10358">
        <w:t>were recorded at the mainstem sampling stations EFU, EFL, WFU and WFL</w:t>
      </w:r>
      <w:r w:rsidR="00C835C7">
        <w:t xml:space="preserve"> </w:t>
      </w:r>
      <w:r w:rsidR="0084464A">
        <w:t>(</w:t>
      </w:r>
      <w:r w:rsidR="00385793">
        <w:fldChar w:fldCharType="begin"/>
      </w:r>
      <w:r w:rsidR="00385793">
        <w:instrText xml:space="preserve"> REF _Ref426537537 \h </w:instrText>
      </w:r>
      <w:r w:rsidR="00385793">
        <w:fldChar w:fldCharType="separate"/>
      </w:r>
      <w:r w:rsidR="00FC1619">
        <w:t>Table 4-</w:t>
      </w:r>
      <w:r w:rsidR="00FC1619">
        <w:rPr>
          <w:noProof/>
        </w:rPr>
        <w:t>4</w:t>
      </w:r>
      <w:r w:rsidR="00FC1619">
        <w:t xml:space="preserve"> 24-hour monitoring events</w:t>
      </w:r>
      <w:r w:rsidR="00385793">
        <w:fldChar w:fldCharType="end"/>
      </w:r>
      <w:r w:rsidR="009B5208">
        <w:t>)</w:t>
      </w:r>
      <w:r w:rsidR="00B10358">
        <w:t xml:space="preserve">. </w:t>
      </w:r>
      <w:r w:rsidR="00B10358" w:rsidRPr="00B10358">
        <w:t>Continuous (24-hour) monitor</w:t>
      </w:r>
      <w:r w:rsidR="00BA0BDD">
        <w:t>ing</w:t>
      </w:r>
      <w:r w:rsidR="00B10358" w:rsidRPr="00B10358">
        <w:t xml:space="preserve"> data (water temperature, specific conduct</w:t>
      </w:r>
      <w:r w:rsidR="000A3A58">
        <w:t>ance, dissolved oxygen, pH) w</w:t>
      </w:r>
      <w:r w:rsidR="009562EF">
        <w:t>ere</w:t>
      </w:r>
      <w:r w:rsidR="000A3A58">
        <w:t xml:space="preserve"> collected</w:t>
      </w:r>
      <w:r w:rsidR="00B10358" w:rsidRPr="00B10358">
        <w:t xml:space="preserve"> </w:t>
      </w:r>
      <w:r w:rsidR="009562EF">
        <w:t>at 15 minute intervals</w:t>
      </w:r>
      <w:r w:rsidR="009562EF" w:rsidRPr="00B10358">
        <w:t xml:space="preserve"> </w:t>
      </w:r>
      <w:r w:rsidR="00B10358" w:rsidRPr="00B10358">
        <w:t>at each sampling station of East and West For</w:t>
      </w:r>
      <w:r w:rsidR="000A3A58">
        <w:t xml:space="preserve">k Double Bayou during 24-hour </w:t>
      </w:r>
      <w:r w:rsidR="00B10358">
        <w:t xml:space="preserve">events. </w:t>
      </w:r>
      <w:r w:rsidR="00B10358" w:rsidRPr="00B10358">
        <w:t xml:space="preserve">24-hour DO monitoring is measured to </w:t>
      </w:r>
      <w:r w:rsidR="00B10358" w:rsidRPr="00B10358">
        <w:lastRenderedPageBreak/>
        <w:t>determine compliance with aquatic life use designations and support biological modeling, as well as aid with short-term temporal fluctuation analyses.</w:t>
      </w:r>
      <w:r w:rsidR="00364261">
        <w:t xml:space="preserve"> The 24-hour monitoring can show the variation of dissolved oxygen throughout the course of the day and </w:t>
      </w:r>
      <w:r w:rsidR="001D400E">
        <w:t>reveal the high and low dissolved oxygen</w:t>
      </w:r>
      <w:r w:rsidR="00364261">
        <w:t xml:space="preserve"> concentrations.</w:t>
      </w:r>
    </w:p>
    <w:tbl>
      <w:tblPr>
        <w:tblW w:w="7020" w:type="dxa"/>
        <w:jc w:val="center"/>
        <w:tblLook w:val="04A0" w:firstRow="1" w:lastRow="0" w:firstColumn="1" w:lastColumn="0" w:noHBand="0" w:noVBand="1"/>
      </w:tblPr>
      <w:tblGrid>
        <w:gridCol w:w="960"/>
        <w:gridCol w:w="1436"/>
        <w:gridCol w:w="763"/>
        <w:gridCol w:w="1648"/>
        <w:gridCol w:w="832"/>
        <w:gridCol w:w="1420"/>
      </w:tblGrid>
      <w:tr w:rsidR="003F10D4" w:rsidRPr="003F10D4" w14:paraId="22338FD8" w14:textId="77777777" w:rsidTr="003F10D4">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94639A" w14:textId="77777777" w:rsidR="003F10D4" w:rsidRPr="003F10D4" w:rsidRDefault="003F10D4" w:rsidP="003F10D4">
            <w:pPr>
              <w:spacing w:after="0" w:line="240" w:lineRule="auto"/>
              <w:jc w:val="center"/>
              <w:rPr>
                <w:rFonts w:eastAsia="Times New Roman" w:cs="Times New Roman"/>
                <w:b/>
                <w:bCs/>
                <w:color w:val="000000"/>
                <w:szCs w:val="24"/>
              </w:rPr>
            </w:pPr>
            <w:r w:rsidRPr="003F10D4">
              <w:rPr>
                <w:rFonts w:eastAsia="Times New Roman" w:cs="Times New Roman"/>
                <w:b/>
                <w:bCs/>
                <w:color w:val="000000"/>
                <w:szCs w:val="24"/>
              </w:rPr>
              <w:t>Station</w:t>
            </w:r>
          </w:p>
        </w:tc>
        <w:tc>
          <w:tcPr>
            <w:tcW w:w="2160"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39BDF81E" w14:textId="77777777" w:rsidR="003F10D4" w:rsidRPr="003F10D4" w:rsidRDefault="003F10D4" w:rsidP="003F10D4">
            <w:pPr>
              <w:spacing w:after="0" w:line="240" w:lineRule="auto"/>
              <w:jc w:val="center"/>
              <w:rPr>
                <w:rFonts w:eastAsia="Times New Roman" w:cs="Times New Roman"/>
                <w:b/>
                <w:bCs/>
                <w:color w:val="000000"/>
                <w:szCs w:val="24"/>
              </w:rPr>
            </w:pPr>
            <w:r w:rsidRPr="003F10D4">
              <w:rPr>
                <w:rFonts w:eastAsia="Times New Roman" w:cs="Times New Roman"/>
                <w:b/>
                <w:bCs/>
                <w:color w:val="000000"/>
                <w:szCs w:val="24"/>
              </w:rPr>
              <w:t>Start</w:t>
            </w:r>
          </w:p>
        </w:tc>
        <w:tc>
          <w:tcPr>
            <w:tcW w:w="2480"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47E46353" w14:textId="77777777" w:rsidR="003F10D4" w:rsidRPr="003F10D4" w:rsidRDefault="003F10D4" w:rsidP="003F10D4">
            <w:pPr>
              <w:spacing w:after="0" w:line="240" w:lineRule="auto"/>
              <w:jc w:val="center"/>
              <w:rPr>
                <w:rFonts w:eastAsia="Times New Roman" w:cs="Times New Roman"/>
                <w:b/>
                <w:bCs/>
                <w:color w:val="000000"/>
                <w:szCs w:val="24"/>
              </w:rPr>
            </w:pPr>
            <w:r w:rsidRPr="003F10D4">
              <w:rPr>
                <w:rFonts w:eastAsia="Times New Roman" w:cs="Times New Roman"/>
                <w:b/>
                <w:bCs/>
                <w:color w:val="000000"/>
                <w:szCs w:val="24"/>
              </w:rPr>
              <w:t>End</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FC34B7C" w14:textId="77777777" w:rsidR="003F10D4" w:rsidRPr="003F10D4" w:rsidRDefault="003F10D4" w:rsidP="003F10D4">
            <w:pPr>
              <w:spacing w:after="0" w:line="240" w:lineRule="auto"/>
              <w:jc w:val="center"/>
              <w:rPr>
                <w:rFonts w:eastAsia="Times New Roman" w:cs="Times New Roman"/>
                <w:b/>
                <w:bCs/>
                <w:color w:val="000000"/>
                <w:szCs w:val="24"/>
              </w:rPr>
            </w:pPr>
            <w:r w:rsidRPr="003F10D4">
              <w:rPr>
                <w:rFonts w:eastAsia="Times New Roman" w:cs="Times New Roman"/>
                <w:b/>
                <w:bCs/>
                <w:color w:val="000000"/>
                <w:szCs w:val="24"/>
              </w:rPr>
              <w:t>Total Hours</w:t>
            </w:r>
          </w:p>
        </w:tc>
      </w:tr>
      <w:tr w:rsidR="003F10D4" w:rsidRPr="003F10D4" w14:paraId="53CB7FBB" w14:textId="77777777" w:rsidTr="003F10D4">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F2202FF" w14:textId="77777777" w:rsidR="003F10D4" w:rsidRPr="003F10D4" w:rsidRDefault="003F10D4" w:rsidP="003F10D4">
            <w:pPr>
              <w:spacing w:after="0" w:line="240" w:lineRule="auto"/>
              <w:rPr>
                <w:rFonts w:eastAsia="Times New Roman" w:cs="Times New Roman"/>
                <w:b/>
                <w:bCs/>
                <w:color w:val="000000"/>
                <w:szCs w:val="24"/>
              </w:rPr>
            </w:pPr>
          </w:p>
        </w:tc>
        <w:tc>
          <w:tcPr>
            <w:tcW w:w="1436" w:type="dxa"/>
            <w:tcBorders>
              <w:top w:val="nil"/>
              <w:left w:val="nil"/>
              <w:bottom w:val="single" w:sz="4" w:space="0" w:color="auto"/>
              <w:right w:val="single" w:sz="4" w:space="0" w:color="auto"/>
            </w:tcBorders>
            <w:shd w:val="clear" w:color="000000" w:fill="BFBFBF"/>
            <w:noWrap/>
            <w:vAlign w:val="center"/>
            <w:hideMark/>
          </w:tcPr>
          <w:p w14:paraId="46D9CCF3" w14:textId="77777777" w:rsidR="003F10D4" w:rsidRPr="003F10D4" w:rsidRDefault="003F10D4" w:rsidP="003F10D4">
            <w:pPr>
              <w:spacing w:after="0" w:line="240" w:lineRule="auto"/>
              <w:jc w:val="center"/>
              <w:rPr>
                <w:rFonts w:eastAsia="Times New Roman" w:cs="Times New Roman"/>
                <w:b/>
                <w:bCs/>
                <w:color w:val="000000"/>
                <w:szCs w:val="24"/>
              </w:rPr>
            </w:pPr>
            <w:r w:rsidRPr="003F10D4">
              <w:rPr>
                <w:rFonts w:eastAsia="Times New Roman" w:cs="Times New Roman"/>
                <w:b/>
                <w:bCs/>
                <w:color w:val="000000"/>
                <w:szCs w:val="24"/>
              </w:rPr>
              <w:t>Date</w:t>
            </w:r>
          </w:p>
        </w:tc>
        <w:tc>
          <w:tcPr>
            <w:tcW w:w="724" w:type="dxa"/>
            <w:tcBorders>
              <w:top w:val="nil"/>
              <w:left w:val="nil"/>
              <w:bottom w:val="single" w:sz="4" w:space="0" w:color="auto"/>
              <w:right w:val="single" w:sz="4" w:space="0" w:color="auto"/>
            </w:tcBorders>
            <w:shd w:val="clear" w:color="000000" w:fill="BFBFBF"/>
            <w:noWrap/>
            <w:vAlign w:val="center"/>
            <w:hideMark/>
          </w:tcPr>
          <w:p w14:paraId="2C9857BA" w14:textId="77777777" w:rsidR="003F10D4" w:rsidRPr="003F10D4" w:rsidRDefault="003F10D4" w:rsidP="003F10D4">
            <w:pPr>
              <w:spacing w:after="0" w:line="240" w:lineRule="auto"/>
              <w:jc w:val="center"/>
              <w:rPr>
                <w:rFonts w:eastAsia="Times New Roman" w:cs="Times New Roman"/>
                <w:b/>
                <w:bCs/>
                <w:color w:val="000000"/>
                <w:szCs w:val="24"/>
              </w:rPr>
            </w:pPr>
            <w:r w:rsidRPr="003F10D4">
              <w:rPr>
                <w:rFonts w:eastAsia="Times New Roman" w:cs="Times New Roman"/>
                <w:b/>
                <w:bCs/>
                <w:color w:val="000000"/>
                <w:szCs w:val="24"/>
              </w:rPr>
              <w:t>Time</w:t>
            </w:r>
          </w:p>
        </w:tc>
        <w:tc>
          <w:tcPr>
            <w:tcW w:w="1648" w:type="dxa"/>
            <w:tcBorders>
              <w:top w:val="nil"/>
              <w:left w:val="nil"/>
              <w:bottom w:val="single" w:sz="4" w:space="0" w:color="auto"/>
              <w:right w:val="single" w:sz="4" w:space="0" w:color="auto"/>
            </w:tcBorders>
            <w:shd w:val="clear" w:color="000000" w:fill="BFBFBF"/>
            <w:noWrap/>
            <w:vAlign w:val="center"/>
            <w:hideMark/>
          </w:tcPr>
          <w:p w14:paraId="6B6A3F0D" w14:textId="77777777" w:rsidR="003F10D4" w:rsidRPr="003F10D4" w:rsidRDefault="003F10D4" w:rsidP="003F10D4">
            <w:pPr>
              <w:spacing w:after="0" w:line="240" w:lineRule="auto"/>
              <w:jc w:val="center"/>
              <w:rPr>
                <w:rFonts w:eastAsia="Times New Roman" w:cs="Times New Roman"/>
                <w:b/>
                <w:bCs/>
                <w:color w:val="000000"/>
                <w:szCs w:val="24"/>
              </w:rPr>
            </w:pPr>
            <w:r w:rsidRPr="003F10D4">
              <w:rPr>
                <w:rFonts w:eastAsia="Times New Roman" w:cs="Times New Roman"/>
                <w:b/>
                <w:bCs/>
                <w:color w:val="000000"/>
                <w:szCs w:val="24"/>
              </w:rPr>
              <w:t xml:space="preserve">Date </w:t>
            </w:r>
          </w:p>
        </w:tc>
        <w:tc>
          <w:tcPr>
            <w:tcW w:w="832" w:type="dxa"/>
            <w:tcBorders>
              <w:top w:val="nil"/>
              <w:left w:val="nil"/>
              <w:bottom w:val="single" w:sz="4" w:space="0" w:color="auto"/>
              <w:right w:val="single" w:sz="4" w:space="0" w:color="auto"/>
            </w:tcBorders>
            <w:shd w:val="clear" w:color="000000" w:fill="BFBFBF"/>
            <w:noWrap/>
            <w:vAlign w:val="center"/>
            <w:hideMark/>
          </w:tcPr>
          <w:p w14:paraId="6601D6AC" w14:textId="77777777" w:rsidR="003F10D4" w:rsidRPr="003F10D4" w:rsidRDefault="003F10D4" w:rsidP="003F10D4">
            <w:pPr>
              <w:spacing w:after="0" w:line="240" w:lineRule="auto"/>
              <w:jc w:val="center"/>
              <w:rPr>
                <w:rFonts w:eastAsia="Times New Roman" w:cs="Times New Roman"/>
                <w:b/>
                <w:bCs/>
                <w:color w:val="000000"/>
                <w:szCs w:val="24"/>
              </w:rPr>
            </w:pPr>
            <w:r w:rsidRPr="003F10D4">
              <w:rPr>
                <w:rFonts w:eastAsia="Times New Roman" w:cs="Times New Roman"/>
                <w:b/>
                <w:bCs/>
                <w:color w:val="000000"/>
                <w:szCs w:val="24"/>
              </w:rPr>
              <w:t>Time</w:t>
            </w: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6F95758C" w14:textId="77777777" w:rsidR="003F10D4" w:rsidRPr="003F10D4" w:rsidRDefault="003F10D4" w:rsidP="003F10D4">
            <w:pPr>
              <w:spacing w:after="0" w:line="240" w:lineRule="auto"/>
              <w:rPr>
                <w:rFonts w:eastAsia="Times New Roman" w:cs="Times New Roman"/>
                <w:b/>
                <w:bCs/>
                <w:color w:val="000000"/>
                <w:szCs w:val="24"/>
              </w:rPr>
            </w:pPr>
          </w:p>
        </w:tc>
      </w:tr>
      <w:tr w:rsidR="003F10D4" w:rsidRPr="003F10D4" w14:paraId="7AEA63F2"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0F01D26"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EFU</w:t>
            </w:r>
          </w:p>
        </w:tc>
        <w:tc>
          <w:tcPr>
            <w:tcW w:w="1436" w:type="dxa"/>
            <w:tcBorders>
              <w:top w:val="nil"/>
              <w:left w:val="nil"/>
              <w:bottom w:val="single" w:sz="4" w:space="0" w:color="auto"/>
              <w:right w:val="single" w:sz="4" w:space="0" w:color="auto"/>
            </w:tcBorders>
            <w:shd w:val="clear" w:color="000000" w:fill="F2F2F2"/>
            <w:noWrap/>
            <w:vAlign w:val="center"/>
            <w:hideMark/>
          </w:tcPr>
          <w:p w14:paraId="569B0A14"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8/20/2014 </w:t>
            </w:r>
          </w:p>
        </w:tc>
        <w:tc>
          <w:tcPr>
            <w:tcW w:w="724" w:type="dxa"/>
            <w:tcBorders>
              <w:top w:val="nil"/>
              <w:left w:val="nil"/>
              <w:bottom w:val="single" w:sz="4" w:space="0" w:color="auto"/>
              <w:right w:val="single" w:sz="4" w:space="0" w:color="auto"/>
            </w:tcBorders>
            <w:shd w:val="clear" w:color="000000" w:fill="F2F2F2"/>
            <w:noWrap/>
            <w:vAlign w:val="center"/>
            <w:hideMark/>
          </w:tcPr>
          <w:p w14:paraId="14DE81DA"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15:00</w:t>
            </w:r>
          </w:p>
        </w:tc>
        <w:tc>
          <w:tcPr>
            <w:tcW w:w="1648" w:type="dxa"/>
            <w:tcBorders>
              <w:top w:val="nil"/>
              <w:left w:val="nil"/>
              <w:bottom w:val="single" w:sz="4" w:space="0" w:color="auto"/>
              <w:right w:val="single" w:sz="4" w:space="0" w:color="auto"/>
            </w:tcBorders>
            <w:shd w:val="clear" w:color="000000" w:fill="F2F2F2"/>
            <w:noWrap/>
            <w:vAlign w:val="center"/>
            <w:hideMark/>
          </w:tcPr>
          <w:p w14:paraId="372840D8"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8/21/2014 </w:t>
            </w:r>
          </w:p>
        </w:tc>
        <w:tc>
          <w:tcPr>
            <w:tcW w:w="832" w:type="dxa"/>
            <w:tcBorders>
              <w:top w:val="nil"/>
              <w:left w:val="nil"/>
              <w:bottom w:val="single" w:sz="4" w:space="0" w:color="auto"/>
              <w:right w:val="single" w:sz="4" w:space="0" w:color="auto"/>
            </w:tcBorders>
            <w:shd w:val="clear" w:color="000000" w:fill="F2F2F2"/>
            <w:noWrap/>
            <w:vAlign w:val="center"/>
            <w:hideMark/>
          </w:tcPr>
          <w:p w14:paraId="1E4C5E3C"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15:00</w:t>
            </w:r>
          </w:p>
        </w:tc>
        <w:tc>
          <w:tcPr>
            <w:tcW w:w="1420" w:type="dxa"/>
            <w:tcBorders>
              <w:top w:val="nil"/>
              <w:left w:val="nil"/>
              <w:bottom w:val="single" w:sz="4" w:space="0" w:color="auto"/>
              <w:right w:val="single" w:sz="4" w:space="0" w:color="auto"/>
            </w:tcBorders>
            <w:shd w:val="clear" w:color="000000" w:fill="F2F2F2"/>
            <w:noWrap/>
            <w:vAlign w:val="center"/>
            <w:hideMark/>
          </w:tcPr>
          <w:p w14:paraId="72C7ED60"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24</w:t>
            </w:r>
          </w:p>
        </w:tc>
      </w:tr>
      <w:tr w:rsidR="003F10D4" w:rsidRPr="003F10D4" w14:paraId="633A08DE"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D0946A9"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WFU</w:t>
            </w:r>
          </w:p>
        </w:tc>
        <w:tc>
          <w:tcPr>
            <w:tcW w:w="1436" w:type="dxa"/>
            <w:tcBorders>
              <w:top w:val="nil"/>
              <w:left w:val="nil"/>
              <w:bottom w:val="single" w:sz="4" w:space="0" w:color="auto"/>
              <w:right w:val="single" w:sz="4" w:space="0" w:color="auto"/>
            </w:tcBorders>
            <w:shd w:val="clear" w:color="000000" w:fill="F2F2F2"/>
            <w:noWrap/>
            <w:vAlign w:val="center"/>
            <w:hideMark/>
          </w:tcPr>
          <w:p w14:paraId="37E86BBB"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8/20/2014 </w:t>
            </w:r>
          </w:p>
        </w:tc>
        <w:tc>
          <w:tcPr>
            <w:tcW w:w="724" w:type="dxa"/>
            <w:tcBorders>
              <w:top w:val="nil"/>
              <w:left w:val="nil"/>
              <w:bottom w:val="single" w:sz="4" w:space="0" w:color="auto"/>
              <w:right w:val="single" w:sz="4" w:space="0" w:color="auto"/>
            </w:tcBorders>
            <w:shd w:val="clear" w:color="000000" w:fill="F2F2F2"/>
            <w:noWrap/>
            <w:vAlign w:val="center"/>
            <w:hideMark/>
          </w:tcPr>
          <w:p w14:paraId="6A79B076"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13:15</w:t>
            </w:r>
          </w:p>
        </w:tc>
        <w:tc>
          <w:tcPr>
            <w:tcW w:w="1648" w:type="dxa"/>
            <w:tcBorders>
              <w:top w:val="nil"/>
              <w:left w:val="nil"/>
              <w:bottom w:val="single" w:sz="4" w:space="0" w:color="auto"/>
              <w:right w:val="single" w:sz="4" w:space="0" w:color="auto"/>
            </w:tcBorders>
            <w:shd w:val="clear" w:color="000000" w:fill="F2F2F2"/>
            <w:noWrap/>
            <w:vAlign w:val="center"/>
            <w:hideMark/>
          </w:tcPr>
          <w:p w14:paraId="59737C4D"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8/21/2014 </w:t>
            </w:r>
          </w:p>
        </w:tc>
        <w:tc>
          <w:tcPr>
            <w:tcW w:w="832" w:type="dxa"/>
            <w:tcBorders>
              <w:top w:val="nil"/>
              <w:left w:val="nil"/>
              <w:bottom w:val="single" w:sz="4" w:space="0" w:color="auto"/>
              <w:right w:val="single" w:sz="4" w:space="0" w:color="auto"/>
            </w:tcBorders>
            <w:shd w:val="clear" w:color="000000" w:fill="F2F2F2"/>
            <w:noWrap/>
            <w:vAlign w:val="center"/>
            <w:hideMark/>
          </w:tcPr>
          <w:p w14:paraId="3E748338"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14:30</w:t>
            </w:r>
          </w:p>
        </w:tc>
        <w:tc>
          <w:tcPr>
            <w:tcW w:w="1420" w:type="dxa"/>
            <w:tcBorders>
              <w:top w:val="nil"/>
              <w:left w:val="nil"/>
              <w:bottom w:val="single" w:sz="4" w:space="0" w:color="auto"/>
              <w:right w:val="single" w:sz="4" w:space="0" w:color="auto"/>
            </w:tcBorders>
            <w:shd w:val="clear" w:color="000000" w:fill="F2F2F2"/>
            <w:noWrap/>
            <w:vAlign w:val="center"/>
            <w:hideMark/>
          </w:tcPr>
          <w:p w14:paraId="16DACEBE"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25.15 </w:t>
            </w:r>
          </w:p>
        </w:tc>
      </w:tr>
      <w:tr w:rsidR="003F10D4" w:rsidRPr="003F10D4" w14:paraId="10AC4C5F"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4730F2E"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EFU</w:t>
            </w:r>
          </w:p>
        </w:tc>
        <w:tc>
          <w:tcPr>
            <w:tcW w:w="1436" w:type="dxa"/>
            <w:tcBorders>
              <w:top w:val="nil"/>
              <w:left w:val="nil"/>
              <w:bottom w:val="single" w:sz="4" w:space="0" w:color="auto"/>
              <w:right w:val="single" w:sz="4" w:space="0" w:color="auto"/>
            </w:tcBorders>
            <w:shd w:val="clear" w:color="000000" w:fill="F2F2F2"/>
            <w:noWrap/>
            <w:vAlign w:val="center"/>
            <w:hideMark/>
          </w:tcPr>
          <w:p w14:paraId="0D1A2C15"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9/17/2014 </w:t>
            </w:r>
          </w:p>
        </w:tc>
        <w:tc>
          <w:tcPr>
            <w:tcW w:w="724" w:type="dxa"/>
            <w:tcBorders>
              <w:top w:val="nil"/>
              <w:left w:val="nil"/>
              <w:bottom w:val="single" w:sz="4" w:space="0" w:color="auto"/>
              <w:right w:val="single" w:sz="4" w:space="0" w:color="auto"/>
            </w:tcBorders>
            <w:shd w:val="clear" w:color="000000" w:fill="F2F2F2"/>
            <w:noWrap/>
            <w:vAlign w:val="center"/>
            <w:hideMark/>
          </w:tcPr>
          <w:p w14:paraId="4019E956"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14:00</w:t>
            </w:r>
          </w:p>
        </w:tc>
        <w:tc>
          <w:tcPr>
            <w:tcW w:w="1648" w:type="dxa"/>
            <w:tcBorders>
              <w:top w:val="nil"/>
              <w:left w:val="nil"/>
              <w:bottom w:val="single" w:sz="4" w:space="0" w:color="auto"/>
              <w:right w:val="single" w:sz="4" w:space="0" w:color="auto"/>
            </w:tcBorders>
            <w:shd w:val="clear" w:color="000000" w:fill="F2F2F2"/>
            <w:noWrap/>
            <w:vAlign w:val="center"/>
            <w:hideMark/>
          </w:tcPr>
          <w:p w14:paraId="3D195B90"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9/19/2014 </w:t>
            </w:r>
          </w:p>
        </w:tc>
        <w:tc>
          <w:tcPr>
            <w:tcW w:w="832" w:type="dxa"/>
            <w:tcBorders>
              <w:top w:val="nil"/>
              <w:left w:val="nil"/>
              <w:bottom w:val="single" w:sz="4" w:space="0" w:color="auto"/>
              <w:right w:val="single" w:sz="4" w:space="0" w:color="auto"/>
            </w:tcBorders>
            <w:shd w:val="clear" w:color="000000" w:fill="F2F2F2"/>
            <w:noWrap/>
            <w:vAlign w:val="center"/>
            <w:hideMark/>
          </w:tcPr>
          <w:p w14:paraId="10DA7C8E"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10:30</w:t>
            </w:r>
          </w:p>
        </w:tc>
        <w:tc>
          <w:tcPr>
            <w:tcW w:w="1420" w:type="dxa"/>
            <w:tcBorders>
              <w:top w:val="nil"/>
              <w:left w:val="nil"/>
              <w:bottom w:val="single" w:sz="4" w:space="0" w:color="auto"/>
              <w:right w:val="single" w:sz="4" w:space="0" w:color="auto"/>
            </w:tcBorders>
            <w:shd w:val="clear" w:color="000000" w:fill="F2F2F2"/>
            <w:noWrap/>
            <w:vAlign w:val="center"/>
            <w:hideMark/>
          </w:tcPr>
          <w:p w14:paraId="28E913E0"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40.5 </w:t>
            </w:r>
          </w:p>
        </w:tc>
      </w:tr>
      <w:tr w:rsidR="003F10D4" w:rsidRPr="003F10D4" w14:paraId="77C3D551"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CFAA3BE"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WFU</w:t>
            </w:r>
          </w:p>
        </w:tc>
        <w:tc>
          <w:tcPr>
            <w:tcW w:w="1436" w:type="dxa"/>
            <w:tcBorders>
              <w:top w:val="nil"/>
              <w:left w:val="nil"/>
              <w:bottom w:val="single" w:sz="4" w:space="0" w:color="auto"/>
              <w:right w:val="single" w:sz="4" w:space="0" w:color="auto"/>
            </w:tcBorders>
            <w:shd w:val="clear" w:color="000000" w:fill="F2F2F2"/>
            <w:noWrap/>
            <w:vAlign w:val="center"/>
            <w:hideMark/>
          </w:tcPr>
          <w:p w14:paraId="76687195"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9/17/2014 </w:t>
            </w:r>
          </w:p>
        </w:tc>
        <w:tc>
          <w:tcPr>
            <w:tcW w:w="724" w:type="dxa"/>
            <w:tcBorders>
              <w:top w:val="nil"/>
              <w:left w:val="nil"/>
              <w:bottom w:val="single" w:sz="4" w:space="0" w:color="auto"/>
              <w:right w:val="single" w:sz="4" w:space="0" w:color="auto"/>
            </w:tcBorders>
            <w:shd w:val="clear" w:color="000000" w:fill="F2F2F2"/>
            <w:noWrap/>
            <w:vAlign w:val="center"/>
            <w:hideMark/>
          </w:tcPr>
          <w:p w14:paraId="1FDA5EDC"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12:30</w:t>
            </w:r>
          </w:p>
        </w:tc>
        <w:tc>
          <w:tcPr>
            <w:tcW w:w="1648" w:type="dxa"/>
            <w:tcBorders>
              <w:top w:val="nil"/>
              <w:left w:val="nil"/>
              <w:bottom w:val="single" w:sz="4" w:space="0" w:color="auto"/>
              <w:right w:val="single" w:sz="4" w:space="0" w:color="auto"/>
            </w:tcBorders>
            <w:shd w:val="clear" w:color="000000" w:fill="F2F2F2"/>
            <w:noWrap/>
            <w:vAlign w:val="center"/>
            <w:hideMark/>
          </w:tcPr>
          <w:p w14:paraId="1775EFF9"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9/19/2014 </w:t>
            </w:r>
          </w:p>
        </w:tc>
        <w:tc>
          <w:tcPr>
            <w:tcW w:w="832" w:type="dxa"/>
            <w:tcBorders>
              <w:top w:val="nil"/>
              <w:left w:val="nil"/>
              <w:bottom w:val="single" w:sz="4" w:space="0" w:color="auto"/>
              <w:right w:val="single" w:sz="4" w:space="0" w:color="auto"/>
            </w:tcBorders>
            <w:shd w:val="clear" w:color="000000" w:fill="F2F2F2"/>
            <w:noWrap/>
            <w:vAlign w:val="center"/>
            <w:hideMark/>
          </w:tcPr>
          <w:p w14:paraId="2283D2F7"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11:00</w:t>
            </w:r>
          </w:p>
        </w:tc>
        <w:tc>
          <w:tcPr>
            <w:tcW w:w="1420" w:type="dxa"/>
            <w:tcBorders>
              <w:top w:val="nil"/>
              <w:left w:val="nil"/>
              <w:bottom w:val="single" w:sz="4" w:space="0" w:color="auto"/>
              <w:right w:val="single" w:sz="4" w:space="0" w:color="auto"/>
            </w:tcBorders>
            <w:shd w:val="clear" w:color="000000" w:fill="F2F2F2"/>
            <w:noWrap/>
            <w:vAlign w:val="center"/>
            <w:hideMark/>
          </w:tcPr>
          <w:p w14:paraId="3641075A"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42</w:t>
            </w:r>
          </w:p>
        </w:tc>
      </w:tr>
      <w:tr w:rsidR="003F10D4" w:rsidRPr="003F10D4" w14:paraId="40CC86FA"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EDB8B86"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EFU</w:t>
            </w:r>
          </w:p>
        </w:tc>
        <w:tc>
          <w:tcPr>
            <w:tcW w:w="1436" w:type="dxa"/>
            <w:tcBorders>
              <w:top w:val="nil"/>
              <w:left w:val="nil"/>
              <w:bottom w:val="single" w:sz="4" w:space="0" w:color="auto"/>
              <w:right w:val="single" w:sz="4" w:space="0" w:color="auto"/>
            </w:tcBorders>
            <w:shd w:val="clear" w:color="000000" w:fill="F2F2F2"/>
            <w:noWrap/>
            <w:vAlign w:val="center"/>
            <w:hideMark/>
          </w:tcPr>
          <w:p w14:paraId="37845A57"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10/14/2014 </w:t>
            </w:r>
          </w:p>
        </w:tc>
        <w:tc>
          <w:tcPr>
            <w:tcW w:w="724" w:type="dxa"/>
            <w:tcBorders>
              <w:top w:val="nil"/>
              <w:left w:val="nil"/>
              <w:bottom w:val="single" w:sz="4" w:space="0" w:color="auto"/>
              <w:right w:val="single" w:sz="4" w:space="0" w:color="auto"/>
            </w:tcBorders>
            <w:shd w:val="clear" w:color="000000" w:fill="F2F2F2"/>
            <w:noWrap/>
            <w:vAlign w:val="center"/>
            <w:hideMark/>
          </w:tcPr>
          <w:p w14:paraId="6B8A7A18"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14:45</w:t>
            </w:r>
          </w:p>
        </w:tc>
        <w:tc>
          <w:tcPr>
            <w:tcW w:w="1648" w:type="dxa"/>
            <w:tcBorders>
              <w:top w:val="nil"/>
              <w:left w:val="nil"/>
              <w:bottom w:val="single" w:sz="4" w:space="0" w:color="auto"/>
              <w:right w:val="single" w:sz="4" w:space="0" w:color="auto"/>
            </w:tcBorders>
            <w:shd w:val="clear" w:color="000000" w:fill="F2F2F2"/>
            <w:noWrap/>
            <w:vAlign w:val="center"/>
            <w:hideMark/>
          </w:tcPr>
          <w:p w14:paraId="3A7AD74A"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10/15/2014 </w:t>
            </w:r>
          </w:p>
        </w:tc>
        <w:tc>
          <w:tcPr>
            <w:tcW w:w="832" w:type="dxa"/>
            <w:tcBorders>
              <w:top w:val="nil"/>
              <w:left w:val="nil"/>
              <w:bottom w:val="single" w:sz="4" w:space="0" w:color="auto"/>
              <w:right w:val="single" w:sz="4" w:space="0" w:color="auto"/>
            </w:tcBorders>
            <w:shd w:val="clear" w:color="000000" w:fill="F2F2F2"/>
            <w:noWrap/>
            <w:vAlign w:val="center"/>
            <w:hideMark/>
          </w:tcPr>
          <w:p w14:paraId="15A2135E"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14:30</w:t>
            </w:r>
          </w:p>
        </w:tc>
        <w:tc>
          <w:tcPr>
            <w:tcW w:w="1420" w:type="dxa"/>
            <w:tcBorders>
              <w:top w:val="nil"/>
              <w:left w:val="nil"/>
              <w:bottom w:val="single" w:sz="4" w:space="0" w:color="auto"/>
              <w:right w:val="single" w:sz="4" w:space="0" w:color="auto"/>
            </w:tcBorders>
            <w:shd w:val="clear" w:color="000000" w:fill="F2F2F2"/>
            <w:noWrap/>
            <w:vAlign w:val="center"/>
            <w:hideMark/>
          </w:tcPr>
          <w:p w14:paraId="05CDBCB1"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23.45 </w:t>
            </w:r>
          </w:p>
        </w:tc>
      </w:tr>
      <w:tr w:rsidR="003F10D4" w:rsidRPr="003F10D4" w14:paraId="34192D65"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162F2E6"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WFU</w:t>
            </w:r>
          </w:p>
        </w:tc>
        <w:tc>
          <w:tcPr>
            <w:tcW w:w="1436" w:type="dxa"/>
            <w:tcBorders>
              <w:top w:val="nil"/>
              <w:left w:val="nil"/>
              <w:bottom w:val="single" w:sz="4" w:space="0" w:color="auto"/>
              <w:right w:val="single" w:sz="4" w:space="0" w:color="auto"/>
            </w:tcBorders>
            <w:shd w:val="clear" w:color="000000" w:fill="F2F2F2"/>
            <w:noWrap/>
            <w:vAlign w:val="center"/>
            <w:hideMark/>
          </w:tcPr>
          <w:p w14:paraId="4C0D1F5F"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10/14/2014 </w:t>
            </w:r>
          </w:p>
        </w:tc>
        <w:tc>
          <w:tcPr>
            <w:tcW w:w="724" w:type="dxa"/>
            <w:tcBorders>
              <w:top w:val="nil"/>
              <w:left w:val="nil"/>
              <w:bottom w:val="single" w:sz="4" w:space="0" w:color="auto"/>
              <w:right w:val="single" w:sz="4" w:space="0" w:color="auto"/>
            </w:tcBorders>
            <w:shd w:val="clear" w:color="000000" w:fill="F2F2F2"/>
            <w:noWrap/>
            <w:vAlign w:val="center"/>
            <w:hideMark/>
          </w:tcPr>
          <w:p w14:paraId="2E7953BC"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13:30</w:t>
            </w:r>
          </w:p>
        </w:tc>
        <w:tc>
          <w:tcPr>
            <w:tcW w:w="1648" w:type="dxa"/>
            <w:tcBorders>
              <w:top w:val="nil"/>
              <w:left w:val="nil"/>
              <w:bottom w:val="single" w:sz="4" w:space="0" w:color="auto"/>
              <w:right w:val="single" w:sz="4" w:space="0" w:color="auto"/>
            </w:tcBorders>
            <w:shd w:val="clear" w:color="000000" w:fill="F2F2F2"/>
            <w:noWrap/>
            <w:vAlign w:val="center"/>
            <w:hideMark/>
          </w:tcPr>
          <w:p w14:paraId="7F8E1887"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10/15/2014 </w:t>
            </w:r>
          </w:p>
        </w:tc>
        <w:tc>
          <w:tcPr>
            <w:tcW w:w="832" w:type="dxa"/>
            <w:tcBorders>
              <w:top w:val="nil"/>
              <w:left w:val="nil"/>
              <w:bottom w:val="single" w:sz="4" w:space="0" w:color="auto"/>
              <w:right w:val="single" w:sz="4" w:space="0" w:color="auto"/>
            </w:tcBorders>
            <w:shd w:val="clear" w:color="000000" w:fill="F2F2F2"/>
            <w:noWrap/>
            <w:vAlign w:val="center"/>
            <w:hideMark/>
          </w:tcPr>
          <w:p w14:paraId="094FECF4"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13:45</w:t>
            </w:r>
          </w:p>
        </w:tc>
        <w:tc>
          <w:tcPr>
            <w:tcW w:w="1420" w:type="dxa"/>
            <w:tcBorders>
              <w:top w:val="nil"/>
              <w:left w:val="nil"/>
              <w:bottom w:val="single" w:sz="4" w:space="0" w:color="auto"/>
              <w:right w:val="single" w:sz="4" w:space="0" w:color="auto"/>
            </w:tcBorders>
            <w:shd w:val="clear" w:color="000000" w:fill="F2F2F2"/>
            <w:noWrap/>
            <w:vAlign w:val="center"/>
            <w:hideMark/>
          </w:tcPr>
          <w:p w14:paraId="5A42147F"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24.15 </w:t>
            </w:r>
          </w:p>
        </w:tc>
      </w:tr>
      <w:tr w:rsidR="003F10D4" w:rsidRPr="003F10D4" w14:paraId="70C8504C"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4EF4CB0"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EFL</w:t>
            </w:r>
          </w:p>
        </w:tc>
        <w:tc>
          <w:tcPr>
            <w:tcW w:w="1436" w:type="dxa"/>
            <w:tcBorders>
              <w:top w:val="nil"/>
              <w:left w:val="nil"/>
              <w:bottom w:val="single" w:sz="4" w:space="0" w:color="auto"/>
              <w:right w:val="single" w:sz="4" w:space="0" w:color="auto"/>
            </w:tcBorders>
            <w:shd w:val="clear" w:color="000000" w:fill="F2F2F2"/>
            <w:noWrap/>
            <w:vAlign w:val="center"/>
            <w:hideMark/>
          </w:tcPr>
          <w:p w14:paraId="2B5DE357"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12/3/2014 </w:t>
            </w:r>
          </w:p>
        </w:tc>
        <w:tc>
          <w:tcPr>
            <w:tcW w:w="724" w:type="dxa"/>
            <w:tcBorders>
              <w:top w:val="nil"/>
              <w:left w:val="nil"/>
              <w:bottom w:val="single" w:sz="4" w:space="0" w:color="auto"/>
              <w:right w:val="single" w:sz="4" w:space="0" w:color="auto"/>
            </w:tcBorders>
            <w:shd w:val="clear" w:color="000000" w:fill="F2F2F2"/>
            <w:noWrap/>
            <w:vAlign w:val="center"/>
            <w:hideMark/>
          </w:tcPr>
          <w:p w14:paraId="4BE74D8E"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10:45</w:t>
            </w:r>
          </w:p>
        </w:tc>
        <w:tc>
          <w:tcPr>
            <w:tcW w:w="1648" w:type="dxa"/>
            <w:tcBorders>
              <w:top w:val="nil"/>
              <w:left w:val="nil"/>
              <w:bottom w:val="single" w:sz="4" w:space="0" w:color="auto"/>
              <w:right w:val="single" w:sz="4" w:space="0" w:color="auto"/>
            </w:tcBorders>
            <w:shd w:val="clear" w:color="000000" w:fill="F2F2F2"/>
            <w:noWrap/>
            <w:vAlign w:val="center"/>
            <w:hideMark/>
          </w:tcPr>
          <w:p w14:paraId="03972F55"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12/4/2014 </w:t>
            </w:r>
          </w:p>
        </w:tc>
        <w:tc>
          <w:tcPr>
            <w:tcW w:w="832" w:type="dxa"/>
            <w:tcBorders>
              <w:top w:val="nil"/>
              <w:left w:val="nil"/>
              <w:bottom w:val="single" w:sz="4" w:space="0" w:color="auto"/>
              <w:right w:val="single" w:sz="4" w:space="0" w:color="auto"/>
            </w:tcBorders>
            <w:shd w:val="clear" w:color="000000" w:fill="F2F2F2"/>
            <w:noWrap/>
            <w:vAlign w:val="center"/>
            <w:hideMark/>
          </w:tcPr>
          <w:p w14:paraId="59FF9530"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12:00</w:t>
            </w:r>
          </w:p>
        </w:tc>
        <w:tc>
          <w:tcPr>
            <w:tcW w:w="1420" w:type="dxa"/>
            <w:tcBorders>
              <w:top w:val="nil"/>
              <w:left w:val="nil"/>
              <w:bottom w:val="single" w:sz="4" w:space="0" w:color="auto"/>
              <w:right w:val="single" w:sz="4" w:space="0" w:color="auto"/>
            </w:tcBorders>
            <w:shd w:val="clear" w:color="000000" w:fill="F2F2F2"/>
            <w:noWrap/>
            <w:vAlign w:val="center"/>
            <w:hideMark/>
          </w:tcPr>
          <w:p w14:paraId="3D0B2CF4"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25.15 </w:t>
            </w:r>
          </w:p>
        </w:tc>
      </w:tr>
      <w:tr w:rsidR="003F10D4" w:rsidRPr="003F10D4" w14:paraId="292D1F12"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FBD74A3"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WFL</w:t>
            </w:r>
          </w:p>
        </w:tc>
        <w:tc>
          <w:tcPr>
            <w:tcW w:w="1436" w:type="dxa"/>
            <w:tcBorders>
              <w:top w:val="nil"/>
              <w:left w:val="nil"/>
              <w:bottom w:val="single" w:sz="4" w:space="0" w:color="auto"/>
              <w:right w:val="single" w:sz="4" w:space="0" w:color="auto"/>
            </w:tcBorders>
            <w:shd w:val="clear" w:color="000000" w:fill="F2F2F2"/>
            <w:noWrap/>
            <w:vAlign w:val="center"/>
            <w:hideMark/>
          </w:tcPr>
          <w:p w14:paraId="323062F6"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12/3/2014 </w:t>
            </w:r>
          </w:p>
        </w:tc>
        <w:tc>
          <w:tcPr>
            <w:tcW w:w="724" w:type="dxa"/>
            <w:tcBorders>
              <w:top w:val="nil"/>
              <w:left w:val="nil"/>
              <w:bottom w:val="single" w:sz="4" w:space="0" w:color="auto"/>
              <w:right w:val="single" w:sz="4" w:space="0" w:color="auto"/>
            </w:tcBorders>
            <w:shd w:val="clear" w:color="000000" w:fill="F2F2F2"/>
            <w:noWrap/>
            <w:vAlign w:val="center"/>
            <w:hideMark/>
          </w:tcPr>
          <w:p w14:paraId="055157BB"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10:30</w:t>
            </w:r>
          </w:p>
        </w:tc>
        <w:tc>
          <w:tcPr>
            <w:tcW w:w="1648" w:type="dxa"/>
            <w:tcBorders>
              <w:top w:val="nil"/>
              <w:left w:val="nil"/>
              <w:bottom w:val="single" w:sz="4" w:space="0" w:color="auto"/>
              <w:right w:val="single" w:sz="4" w:space="0" w:color="auto"/>
            </w:tcBorders>
            <w:shd w:val="clear" w:color="000000" w:fill="F2F2F2"/>
            <w:noWrap/>
            <w:vAlign w:val="center"/>
            <w:hideMark/>
          </w:tcPr>
          <w:p w14:paraId="1C9F44AD"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12/4/2014 </w:t>
            </w:r>
          </w:p>
        </w:tc>
        <w:tc>
          <w:tcPr>
            <w:tcW w:w="832" w:type="dxa"/>
            <w:tcBorders>
              <w:top w:val="nil"/>
              <w:left w:val="nil"/>
              <w:bottom w:val="single" w:sz="4" w:space="0" w:color="auto"/>
              <w:right w:val="single" w:sz="4" w:space="0" w:color="auto"/>
            </w:tcBorders>
            <w:shd w:val="clear" w:color="000000" w:fill="F2F2F2"/>
            <w:noWrap/>
            <w:vAlign w:val="center"/>
            <w:hideMark/>
          </w:tcPr>
          <w:p w14:paraId="251A6CFA"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10:45</w:t>
            </w:r>
          </w:p>
        </w:tc>
        <w:tc>
          <w:tcPr>
            <w:tcW w:w="1420" w:type="dxa"/>
            <w:tcBorders>
              <w:top w:val="nil"/>
              <w:left w:val="nil"/>
              <w:bottom w:val="single" w:sz="4" w:space="0" w:color="auto"/>
              <w:right w:val="single" w:sz="4" w:space="0" w:color="auto"/>
            </w:tcBorders>
            <w:shd w:val="clear" w:color="000000" w:fill="F2F2F2"/>
            <w:noWrap/>
            <w:vAlign w:val="center"/>
            <w:hideMark/>
          </w:tcPr>
          <w:p w14:paraId="01D37B48"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24.15 </w:t>
            </w:r>
          </w:p>
        </w:tc>
      </w:tr>
      <w:tr w:rsidR="003F10D4" w:rsidRPr="003F10D4" w14:paraId="6D68CA52"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30DCBEF"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EFL</w:t>
            </w:r>
          </w:p>
        </w:tc>
        <w:tc>
          <w:tcPr>
            <w:tcW w:w="1436" w:type="dxa"/>
            <w:tcBorders>
              <w:top w:val="nil"/>
              <w:left w:val="nil"/>
              <w:bottom w:val="single" w:sz="4" w:space="0" w:color="auto"/>
              <w:right w:val="single" w:sz="4" w:space="0" w:color="auto"/>
            </w:tcBorders>
            <w:shd w:val="clear" w:color="000000" w:fill="F2F2F2"/>
            <w:noWrap/>
            <w:vAlign w:val="center"/>
            <w:hideMark/>
          </w:tcPr>
          <w:p w14:paraId="03556ADE"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2/25/2015 </w:t>
            </w:r>
          </w:p>
        </w:tc>
        <w:tc>
          <w:tcPr>
            <w:tcW w:w="724" w:type="dxa"/>
            <w:tcBorders>
              <w:top w:val="nil"/>
              <w:left w:val="nil"/>
              <w:bottom w:val="single" w:sz="4" w:space="0" w:color="auto"/>
              <w:right w:val="single" w:sz="4" w:space="0" w:color="auto"/>
            </w:tcBorders>
            <w:shd w:val="clear" w:color="000000" w:fill="F2F2F2"/>
            <w:noWrap/>
            <w:vAlign w:val="center"/>
            <w:hideMark/>
          </w:tcPr>
          <w:p w14:paraId="7EF16E5B"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12:45</w:t>
            </w:r>
          </w:p>
        </w:tc>
        <w:tc>
          <w:tcPr>
            <w:tcW w:w="1648" w:type="dxa"/>
            <w:tcBorders>
              <w:top w:val="nil"/>
              <w:left w:val="nil"/>
              <w:bottom w:val="single" w:sz="4" w:space="0" w:color="auto"/>
              <w:right w:val="single" w:sz="4" w:space="0" w:color="auto"/>
            </w:tcBorders>
            <w:shd w:val="clear" w:color="000000" w:fill="F2F2F2"/>
            <w:noWrap/>
            <w:vAlign w:val="center"/>
            <w:hideMark/>
          </w:tcPr>
          <w:p w14:paraId="0F23A39B"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2/26/2015 </w:t>
            </w:r>
          </w:p>
        </w:tc>
        <w:tc>
          <w:tcPr>
            <w:tcW w:w="832" w:type="dxa"/>
            <w:tcBorders>
              <w:top w:val="nil"/>
              <w:left w:val="nil"/>
              <w:bottom w:val="single" w:sz="4" w:space="0" w:color="auto"/>
              <w:right w:val="single" w:sz="4" w:space="0" w:color="auto"/>
            </w:tcBorders>
            <w:shd w:val="clear" w:color="000000" w:fill="F2F2F2"/>
            <w:noWrap/>
            <w:vAlign w:val="center"/>
            <w:hideMark/>
          </w:tcPr>
          <w:p w14:paraId="6548362A"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14:45</w:t>
            </w:r>
          </w:p>
        </w:tc>
        <w:tc>
          <w:tcPr>
            <w:tcW w:w="1420" w:type="dxa"/>
            <w:tcBorders>
              <w:top w:val="nil"/>
              <w:left w:val="nil"/>
              <w:bottom w:val="single" w:sz="4" w:space="0" w:color="auto"/>
              <w:right w:val="single" w:sz="4" w:space="0" w:color="auto"/>
            </w:tcBorders>
            <w:shd w:val="clear" w:color="000000" w:fill="F2F2F2"/>
            <w:noWrap/>
            <w:vAlign w:val="center"/>
            <w:hideMark/>
          </w:tcPr>
          <w:p w14:paraId="1E52E6B1"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26</w:t>
            </w:r>
          </w:p>
        </w:tc>
      </w:tr>
      <w:tr w:rsidR="003F10D4" w:rsidRPr="003F10D4" w14:paraId="63C3FC9D"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826AA91"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WFL</w:t>
            </w:r>
          </w:p>
        </w:tc>
        <w:tc>
          <w:tcPr>
            <w:tcW w:w="1436" w:type="dxa"/>
            <w:tcBorders>
              <w:top w:val="nil"/>
              <w:left w:val="nil"/>
              <w:bottom w:val="single" w:sz="4" w:space="0" w:color="auto"/>
              <w:right w:val="single" w:sz="4" w:space="0" w:color="auto"/>
            </w:tcBorders>
            <w:shd w:val="clear" w:color="000000" w:fill="F2F2F2"/>
            <w:noWrap/>
            <w:vAlign w:val="center"/>
            <w:hideMark/>
          </w:tcPr>
          <w:p w14:paraId="2E6A6367"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2/25/2015 </w:t>
            </w:r>
          </w:p>
        </w:tc>
        <w:tc>
          <w:tcPr>
            <w:tcW w:w="724" w:type="dxa"/>
            <w:tcBorders>
              <w:top w:val="nil"/>
              <w:left w:val="nil"/>
              <w:bottom w:val="single" w:sz="4" w:space="0" w:color="auto"/>
              <w:right w:val="single" w:sz="4" w:space="0" w:color="auto"/>
            </w:tcBorders>
            <w:shd w:val="clear" w:color="000000" w:fill="F2F2F2"/>
            <w:noWrap/>
            <w:vAlign w:val="center"/>
            <w:hideMark/>
          </w:tcPr>
          <w:p w14:paraId="42744162"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13:30</w:t>
            </w:r>
          </w:p>
        </w:tc>
        <w:tc>
          <w:tcPr>
            <w:tcW w:w="1648" w:type="dxa"/>
            <w:tcBorders>
              <w:top w:val="nil"/>
              <w:left w:val="nil"/>
              <w:bottom w:val="single" w:sz="4" w:space="0" w:color="auto"/>
              <w:right w:val="single" w:sz="4" w:space="0" w:color="auto"/>
            </w:tcBorders>
            <w:shd w:val="clear" w:color="000000" w:fill="F2F2F2"/>
            <w:noWrap/>
            <w:vAlign w:val="center"/>
            <w:hideMark/>
          </w:tcPr>
          <w:p w14:paraId="00FD13B6"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2/26/2015 </w:t>
            </w:r>
          </w:p>
        </w:tc>
        <w:tc>
          <w:tcPr>
            <w:tcW w:w="832" w:type="dxa"/>
            <w:tcBorders>
              <w:top w:val="nil"/>
              <w:left w:val="nil"/>
              <w:bottom w:val="single" w:sz="4" w:space="0" w:color="auto"/>
              <w:right w:val="single" w:sz="4" w:space="0" w:color="auto"/>
            </w:tcBorders>
            <w:shd w:val="clear" w:color="000000" w:fill="F2F2F2"/>
            <w:noWrap/>
            <w:vAlign w:val="center"/>
            <w:hideMark/>
          </w:tcPr>
          <w:p w14:paraId="07E9EF0F"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14:30</w:t>
            </w:r>
          </w:p>
        </w:tc>
        <w:tc>
          <w:tcPr>
            <w:tcW w:w="1420" w:type="dxa"/>
            <w:tcBorders>
              <w:top w:val="nil"/>
              <w:left w:val="nil"/>
              <w:bottom w:val="single" w:sz="4" w:space="0" w:color="auto"/>
              <w:right w:val="single" w:sz="4" w:space="0" w:color="auto"/>
            </w:tcBorders>
            <w:shd w:val="clear" w:color="000000" w:fill="F2F2F2"/>
            <w:noWrap/>
            <w:vAlign w:val="center"/>
            <w:hideMark/>
          </w:tcPr>
          <w:p w14:paraId="3484BFEF"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25</w:t>
            </w:r>
            <w:r w:rsidRPr="003F10D4">
              <w:rPr>
                <w:rFonts w:eastAsia="Times New Roman" w:cs="Times New Roman"/>
                <w:color w:val="000000"/>
                <w:sz w:val="16"/>
                <w:szCs w:val="16"/>
              </w:rPr>
              <w:t> </w:t>
            </w:r>
            <w:r w:rsidRPr="003F10D4">
              <w:rPr>
                <w:rFonts w:eastAsia="Times New Roman" w:cs="Times New Roman"/>
                <w:color w:val="000000"/>
                <w:szCs w:val="24"/>
              </w:rPr>
              <w:t xml:space="preserve"> </w:t>
            </w:r>
          </w:p>
        </w:tc>
      </w:tr>
      <w:tr w:rsidR="003F10D4" w:rsidRPr="003F10D4" w14:paraId="5A47831A"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0BF11D9"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EFL</w:t>
            </w:r>
          </w:p>
        </w:tc>
        <w:tc>
          <w:tcPr>
            <w:tcW w:w="1436" w:type="dxa"/>
            <w:tcBorders>
              <w:top w:val="nil"/>
              <w:left w:val="nil"/>
              <w:bottom w:val="single" w:sz="4" w:space="0" w:color="auto"/>
              <w:right w:val="single" w:sz="4" w:space="0" w:color="auto"/>
            </w:tcBorders>
            <w:shd w:val="clear" w:color="000000" w:fill="F2F2F2"/>
            <w:noWrap/>
            <w:vAlign w:val="center"/>
            <w:hideMark/>
          </w:tcPr>
          <w:p w14:paraId="6D1CAF42"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7/15/2015 </w:t>
            </w:r>
          </w:p>
        </w:tc>
        <w:tc>
          <w:tcPr>
            <w:tcW w:w="724" w:type="dxa"/>
            <w:tcBorders>
              <w:top w:val="nil"/>
              <w:left w:val="nil"/>
              <w:bottom w:val="single" w:sz="4" w:space="0" w:color="auto"/>
              <w:right w:val="single" w:sz="4" w:space="0" w:color="auto"/>
            </w:tcBorders>
            <w:shd w:val="clear" w:color="000000" w:fill="F2F2F2"/>
            <w:noWrap/>
            <w:vAlign w:val="center"/>
            <w:hideMark/>
          </w:tcPr>
          <w:p w14:paraId="007C79E1"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10:30</w:t>
            </w:r>
          </w:p>
        </w:tc>
        <w:tc>
          <w:tcPr>
            <w:tcW w:w="1648" w:type="dxa"/>
            <w:tcBorders>
              <w:top w:val="nil"/>
              <w:left w:val="nil"/>
              <w:bottom w:val="single" w:sz="4" w:space="0" w:color="auto"/>
              <w:right w:val="single" w:sz="4" w:space="0" w:color="auto"/>
            </w:tcBorders>
            <w:shd w:val="clear" w:color="000000" w:fill="F2F2F2"/>
            <w:noWrap/>
            <w:vAlign w:val="center"/>
            <w:hideMark/>
          </w:tcPr>
          <w:p w14:paraId="425C6CCD"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7/16/2015 </w:t>
            </w:r>
          </w:p>
        </w:tc>
        <w:tc>
          <w:tcPr>
            <w:tcW w:w="832" w:type="dxa"/>
            <w:tcBorders>
              <w:top w:val="nil"/>
              <w:left w:val="nil"/>
              <w:bottom w:val="single" w:sz="4" w:space="0" w:color="auto"/>
              <w:right w:val="single" w:sz="4" w:space="0" w:color="auto"/>
            </w:tcBorders>
            <w:shd w:val="clear" w:color="000000" w:fill="F2F2F2"/>
            <w:noWrap/>
            <w:vAlign w:val="center"/>
            <w:hideMark/>
          </w:tcPr>
          <w:p w14:paraId="6EC6D9ED"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14:15</w:t>
            </w:r>
          </w:p>
        </w:tc>
        <w:tc>
          <w:tcPr>
            <w:tcW w:w="1420" w:type="dxa"/>
            <w:tcBorders>
              <w:top w:val="nil"/>
              <w:left w:val="nil"/>
              <w:bottom w:val="single" w:sz="4" w:space="0" w:color="auto"/>
              <w:right w:val="single" w:sz="4" w:space="0" w:color="auto"/>
            </w:tcBorders>
            <w:shd w:val="clear" w:color="000000" w:fill="F2F2F2"/>
            <w:noWrap/>
            <w:vAlign w:val="center"/>
            <w:hideMark/>
          </w:tcPr>
          <w:p w14:paraId="5DA33C27"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27.75 </w:t>
            </w:r>
          </w:p>
        </w:tc>
      </w:tr>
      <w:tr w:rsidR="003F10D4" w:rsidRPr="003F10D4" w14:paraId="14DA1058" w14:textId="77777777" w:rsidTr="003F10D4">
        <w:trPr>
          <w:trHeight w:val="315"/>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47D5B9C"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WFL</w:t>
            </w:r>
          </w:p>
        </w:tc>
        <w:tc>
          <w:tcPr>
            <w:tcW w:w="1436" w:type="dxa"/>
            <w:tcBorders>
              <w:top w:val="nil"/>
              <w:left w:val="nil"/>
              <w:bottom w:val="single" w:sz="4" w:space="0" w:color="auto"/>
              <w:right w:val="single" w:sz="4" w:space="0" w:color="auto"/>
            </w:tcBorders>
            <w:shd w:val="clear" w:color="000000" w:fill="F2F2F2"/>
            <w:noWrap/>
            <w:vAlign w:val="center"/>
            <w:hideMark/>
          </w:tcPr>
          <w:p w14:paraId="58301702"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7/7/2015 </w:t>
            </w:r>
          </w:p>
        </w:tc>
        <w:tc>
          <w:tcPr>
            <w:tcW w:w="724" w:type="dxa"/>
            <w:tcBorders>
              <w:top w:val="nil"/>
              <w:left w:val="nil"/>
              <w:bottom w:val="single" w:sz="4" w:space="0" w:color="auto"/>
              <w:right w:val="single" w:sz="4" w:space="0" w:color="auto"/>
            </w:tcBorders>
            <w:shd w:val="clear" w:color="000000" w:fill="F2F2F2"/>
            <w:noWrap/>
            <w:vAlign w:val="center"/>
            <w:hideMark/>
          </w:tcPr>
          <w:p w14:paraId="47EF8F6D"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10:45</w:t>
            </w:r>
          </w:p>
        </w:tc>
        <w:tc>
          <w:tcPr>
            <w:tcW w:w="1648" w:type="dxa"/>
            <w:tcBorders>
              <w:top w:val="nil"/>
              <w:left w:val="nil"/>
              <w:bottom w:val="single" w:sz="4" w:space="0" w:color="auto"/>
              <w:right w:val="single" w:sz="4" w:space="0" w:color="auto"/>
            </w:tcBorders>
            <w:shd w:val="clear" w:color="000000" w:fill="F2F2F2"/>
            <w:noWrap/>
            <w:vAlign w:val="center"/>
            <w:hideMark/>
          </w:tcPr>
          <w:p w14:paraId="4C5E316C"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7/6/2015 </w:t>
            </w:r>
          </w:p>
        </w:tc>
        <w:tc>
          <w:tcPr>
            <w:tcW w:w="832" w:type="dxa"/>
            <w:tcBorders>
              <w:top w:val="nil"/>
              <w:left w:val="nil"/>
              <w:bottom w:val="single" w:sz="4" w:space="0" w:color="auto"/>
              <w:right w:val="single" w:sz="4" w:space="0" w:color="auto"/>
            </w:tcBorders>
            <w:shd w:val="clear" w:color="000000" w:fill="F2F2F2"/>
            <w:noWrap/>
            <w:vAlign w:val="center"/>
            <w:hideMark/>
          </w:tcPr>
          <w:p w14:paraId="549ADA7E" w14:textId="77777777" w:rsidR="003F10D4" w:rsidRPr="003F10D4" w:rsidRDefault="003F10D4" w:rsidP="003F10D4">
            <w:pPr>
              <w:spacing w:after="0" w:line="240" w:lineRule="auto"/>
              <w:jc w:val="center"/>
              <w:rPr>
                <w:rFonts w:eastAsia="Times New Roman" w:cs="Times New Roman"/>
                <w:color w:val="000000"/>
                <w:szCs w:val="24"/>
              </w:rPr>
            </w:pPr>
            <w:r w:rsidRPr="003F10D4">
              <w:rPr>
                <w:rFonts w:eastAsia="Times New Roman" w:cs="Times New Roman"/>
                <w:color w:val="000000"/>
                <w:szCs w:val="24"/>
              </w:rPr>
              <w:t>11:15</w:t>
            </w:r>
          </w:p>
        </w:tc>
        <w:tc>
          <w:tcPr>
            <w:tcW w:w="1420" w:type="dxa"/>
            <w:tcBorders>
              <w:top w:val="nil"/>
              <w:left w:val="nil"/>
              <w:bottom w:val="single" w:sz="4" w:space="0" w:color="auto"/>
              <w:right w:val="single" w:sz="4" w:space="0" w:color="auto"/>
            </w:tcBorders>
            <w:shd w:val="clear" w:color="000000" w:fill="F2F2F2"/>
            <w:noWrap/>
            <w:vAlign w:val="center"/>
            <w:hideMark/>
          </w:tcPr>
          <w:p w14:paraId="53BD00F1" w14:textId="77777777" w:rsidR="003F10D4" w:rsidRPr="003F10D4" w:rsidRDefault="003F10D4" w:rsidP="00362B17">
            <w:pPr>
              <w:keepNext/>
              <w:spacing w:after="0" w:line="240" w:lineRule="auto"/>
              <w:jc w:val="center"/>
              <w:rPr>
                <w:rFonts w:eastAsia="Times New Roman" w:cs="Times New Roman"/>
                <w:color w:val="000000"/>
                <w:szCs w:val="24"/>
              </w:rPr>
            </w:pPr>
            <w:r w:rsidRPr="003F10D4">
              <w:rPr>
                <w:rFonts w:eastAsia="Times New Roman" w:cs="Times New Roman"/>
                <w:color w:val="000000"/>
                <w:szCs w:val="24"/>
              </w:rPr>
              <w:t xml:space="preserve">24.5 </w:t>
            </w:r>
          </w:p>
        </w:tc>
      </w:tr>
    </w:tbl>
    <w:p w14:paraId="6B05CCFB" w14:textId="1DECDABD" w:rsidR="00362B17" w:rsidRDefault="00362B17" w:rsidP="00362B17">
      <w:pPr>
        <w:pStyle w:val="Caption"/>
        <w:spacing w:before="120" w:after="120"/>
      </w:pPr>
      <w:bookmarkStart w:id="16" w:name="_Ref426537537"/>
      <w:r>
        <w:t>Table 4-</w:t>
      </w:r>
      <w:r w:rsidR="00FC1619">
        <w:fldChar w:fldCharType="begin"/>
      </w:r>
      <w:r w:rsidR="00FC1619">
        <w:instrText xml:space="preserve"> SEQ Table_4- \* ARABIC </w:instrText>
      </w:r>
      <w:r w:rsidR="00FC1619">
        <w:fldChar w:fldCharType="separate"/>
      </w:r>
      <w:r w:rsidR="00FC1619">
        <w:rPr>
          <w:noProof/>
        </w:rPr>
        <w:t>4</w:t>
      </w:r>
      <w:r w:rsidR="00FC1619">
        <w:rPr>
          <w:noProof/>
        </w:rPr>
        <w:fldChar w:fldCharType="end"/>
      </w:r>
      <w:r>
        <w:t xml:space="preserve"> 24-hour monitoring events</w:t>
      </w:r>
      <w:bookmarkEnd w:id="16"/>
    </w:p>
    <w:p w14:paraId="5642AE6D" w14:textId="669BF050" w:rsidR="00ED2017" w:rsidRDefault="00ED2017" w:rsidP="002C38BD">
      <w:r>
        <w:t>A separate set of criteria and analys</w:t>
      </w:r>
      <w:r w:rsidR="009562EF">
        <w:t>es</w:t>
      </w:r>
      <w:r>
        <w:t xml:space="preserve"> </w:t>
      </w:r>
      <w:r w:rsidR="009562EF">
        <w:t>are</w:t>
      </w:r>
      <w:r>
        <w:t xml:space="preserve"> used to assess the 24-hour dissolved oxygen monitoring; the absolute minimum and average value are determined from a continuous 24-hour monitoring event. </w:t>
      </w:r>
      <w:r w:rsidR="00BA0BDD">
        <w:t xml:space="preserve">The </w:t>
      </w:r>
      <w:r>
        <w:t>TCEQ</w:t>
      </w:r>
      <w:r w:rsidR="00BA0BDD">
        <w:t xml:space="preserve"> also</w:t>
      </w:r>
      <w:r>
        <w:t xml:space="preserve"> requires a </w:t>
      </w:r>
      <w:r w:rsidR="003E23C5">
        <w:t xml:space="preserve">minimum </w:t>
      </w:r>
      <w:r>
        <w:t>amount of samples to be taken during specific seasons</w:t>
      </w:r>
      <w:r w:rsidR="00A77A50">
        <w:t xml:space="preserve"> (index periods)</w:t>
      </w:r>
      <w:r>
        <w:t xml:space="preserve"> to accurately </w:t>
      </w:r>
      <w:r w:rsidR="003E23C5">
        <w:t xml:space="preserve">represent </w:t>
      </w:r>
      <w:r>
        <w:t>seasonal</w:t>
      </w:r>
      <w:r w:rsidR="00BA0BDD">
        <w:t xml:space="preserve"> </w:t>
      </w:r>
      <w:r>
        <w:t xml:space="preserve">dissolved oxygen variations. </w:t>
      </w:r>
      <w:r w:rsidR="003F4090">
        <w:t xml:space="preserve">These values </w:t>
      </w:r>
      <w:r w:rsidR="00E97CDF">
        <w:t xml:space="preserve">must then meet certain TCEQ requirements to determine </w:t>
      </w:r>
      <w:r w:rsidR="003F4090">
        <w:t xml:space="preserve">if </w:t>
      </w:r>
      <w:r w:rsidR="00E97CDF">
        <w:t xml:space="preserve">the waterbody is impaired. </w:t>
      </w:r>
      <w:r w:rsidR="00A77A50">
        <w:t>24-hour sampling events are resource intensive and therefore 24-hour data are not always available at all streams during the index period necessary for criteria analysis. If the 24-hour sampling events are not available, TCEQ relies on grab sample DO data as described above for assessment. Both 24-hour data and grab samples have been used for West and East fork assessments.</w:t>
      </w:r>
      <w:r w:rsidR="002C38BD">
        <w:t xml:space="preserve"> </w:t>
      </w:r>
      <w:r w:rsidR="00E97CDF">
        <w:t xml:space="preserve">The criterion </w:t>
      </w:r>
      <w:r w:rsidR="003F4090">
        <w:t xml:space="preserve">to assess </w:t>
      </w:r>
      <w:r w:rsidR="00774B8A">
        <w:t xml:space="preserve">the aquatic life use for 24-hour nontidal (freshwater) </w:t>
      </w:r>
      <w:r w:rsidR="00E4244C">
        <w:t>average is</w:t>
      </w:r>
      <w:r w:rsidR="00E97CDF">
        <w:t xml:space="preserve"> 5.0 mg/L, </w:t>
      </w:r>
      <w:r w:rsidR="00774B8A">
        <w:t xml:space="preserve">average </w:t>
      </w:r>
      <w:r w:rsidR="00E97CDF">
        <w:t xml:space="preserve">24-hour </w:t>
      </w:r>
      <w:r w:rsidR="00BD16D5">
        <w:t>tidal (saline water) is 4 mg/L and the 24-hour minimum criterion for tidal and nontidal waters is 3.0 mg/L.</w:t>
      </w:r>
      <w:r w:rsidR="00660511">
        <w:t xml:space="preserve"> </w:t>
      </w:r>
      <w:r w:rsidR="00A77A50">
        <w:t xml:space="preserve">The </w:t>
      </w:r>
      <w:r>
        <w:t xml:space="preserve">24-hour data </w:t>
      </w:r>
      <w:r w:rsidR="00A77A50">
        <w:t>discussed below</w:t>
      </w:r>
      <w:r>
        <w:t xml:space="preserve"> represent sampling efforts not specifically within the TCEQ criteria</w:t>
      </w:r>
      <w:r w:rsidR="00A77A50">
        <w:t xml:space="preserve"> for index periods</w:t>
      </w:r>
      <w:r w:rsidR="009562EF">
        <w:t>;</w:t>
      </w:r>
      <w:r>
        <w:t xml:space="preserve"> the data </w:t>
      </w:r>
      <w:r w:rsidR="00A77A50">
        <w:t xml:space="preserve">analyzed </w:t>
      </w:r>
      <w:r>
        <w:t>represent diurnal dissolved oxygen patterns</w:t>
      </w:r>
      <w:r w:rsidR="00A77A50">
        <w:t xml:space="preserve"> which are important in assessing the health of the watershed</w:t>
      </w:r>
      <w:r>
        <w:t xml:space="preserve">. </w:t>
      </w:r>
    </w:p>
    <w:p w14:paraId="62D2DF8C" w14:textId="198F08AD" w:rsidR="00185FB1" w:rsidRPr="00B94150" w:rsidRDefault="003C4669" w:rsidP="00D00F7B">
      <w:r w:rsidRPr="00B94150">
        <w:t>All three</w:t>
      </w:r>
      <w:r w:rsidR="00185FB1" w:rsidRPr="00B94150">
        <w:t xml:space="preserve"> of the </w:t>
      </w:r>
      <w:r w:rsidR="003F4090" w:rsidRPr="00B94150">
        <w:t>East Fork Upper</w:t>
      </w:r>
      <w:r w:rsidR="00185FB1" w:rsidRPr="00B94150">
        <w:t xml:space="preserve"> nontidal </w:t>
      </w:r>
      <w:r w:rsidR="003F4090" w:rsidRPr="00B94150">
        <w:t xml:space="preserve">24-hour monitoring events </w:t>
      </w:r>
      <w:r w:rsidRPr="00B94150">
        <w:t xml:space="preserve">were below </w:t>
      </w:r>
      <w:r w:rsidR="00185FB1" w:rsidRPr="00B94150">
        <w:t xml:space="preserve">the average and minimum dissolved oxygen TCEQ </w:t>
      </w:r>
      <w:r w:rsidRPr="00B94150">
        <w:t xml:space="preserve">criteria </w:t>
      </w:r>
      <w:r w:rsidR="00185FB1" w:rsidRPr="00B94150">
        <w:t>of 5.0 m</w:t>
      </w:r>
      <w:r w:rsidR="00BA0BDD" w:rsidRPr="00B94150">
        <w:t xml:space="preserve">g/L and 3.0 mg/L, respectively. </w:t>
      </w:r>
      <w:r w:rsidR="00185FB1" w:rsidRPr="00B94150">
        <w:t xml:space="preserve">The </w:t>
      </w:r>
      <w:r w:rsidR="003F4090" w:rsidRPr="00B94150">
        <w:t>East Fork Lower</w:t>
      </w:r>
      <w:r w:rsidR="00185FB1" w:rsidRPr="00B94150">
        <w:t xml:space="preserve"> 24-hour monitoring event on 12/3/2014 </w:t>
      </w:r>
      <w:r w:rsidRPr="00B94150">
        <w:t xml:space="preserve">was below </w:t>
      </w:r>
      <w:r w:rsidR="00185FB1" w:rsidRPr="00B94150">
        <w:t>the minimum standard.</w:t>
      </w:r>
      <w:r w:rsidR="00D75800" w:rsidRPr="00B94150">
        <w:t xml:space="preserve"> Two of the West Fork Upper </w:t>
      </w:r>
      <w:r w:rsidR="00185FB1" w:rsidRPr="00B94150">
        <w:t xml:space="preserve">24-hour monitoring events </w:t>
      </w:r>
      <w:r w:rsidRPr="00B94150">
        <w:t xml:space="preserve">were below </w:t>
      </w:r>
      <w:r w:rsidR="00185FB1" w:rsidRPr="00B94150">
        <w:t xml:space="preserve">the minimum </w:t>
      </w:r>
      <w:r w:rsidRPr="00B94150">
        <w:t xml:space="preserve">and average </w:t>
      </w:r>
      <w:r w:rsidR="00185FB1" w:rsidRPr="00B94150">
        <w:t>criterion on 8/20/2014 and 9/17/2014</w:t>
      </w:r>
      <w:r w:rsidR="00D75800" w:rsidRPr="00B94150">
        <w:t xml:space="preserve"> </w:t>
      </w:r>
      <w:r w:rsidR="002C38BD" w:rsidRPr="00B94150">
        <w:t>none</w:t>
      </w:r>
      <w:r w:rsidR="00185FB1" w:rsidRPr="00B94150">
        <w:t xml:space="preserve"> of the West Fork Lower 24-hour monitoring events resulted in </w:t>
      </w:r>
      <w:r w:rsidRPr="00B94150">
        <w:t>samples below</w:t>
      </w:r>
      <w:r w:rsidR="002C38BD" w:rsidRPr="00B94150">
        <w:t xml:space="preserve"> </w:t>
      </w:r>
      <w:r w:rsidR="00185FB1" w:rsidRPr="00B94150">
        <w:t xml:space="preserve">the TCEQ criterion. </w:t>
      </w:r>
    </w:p>
    <w:p w14:paraId="2D28C8F9" w14:textId="0D86D6C6" w:rsidR="003F4090" w:rsidRDefault="003F4090" w:rsidP="005D5E6B"/>
    <w:p w14:paraId="269EEF02" w14:textId="4020C9C5" w:rsidR="00D00F7B" w:rsidRDefault="00C5262E" w:rsidP="00C5262E">
      <w:pPr>
        <w:jc w:val="center"/>
      </w:pPr>
      <w:r>
        <w:rPr>
          <w:noProof/>
        </w:rPr>
        <w:lastRenderedPageBreak/>
        <w:drawing>
          <wp:inline distT="0" distB="0" distL="0" distR="0" wp14:anchorId="1B1DF07C" wp14:editId="61F18576">
            <wp:extent cx="5915660" cy="3467100"/>
            <wp:effectExtent l="0" t="0" r="889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6176" cy="3467402"/>
                    </a:xfrm>
                    <a:prstGeom prst="rect">
                      <a:avLst/>
                    </a:prstGeom>
                    <a:noFill/>
                  </pic:spPr>
                </pic:pic>
              </a:graphicData>
            </a:graphic>
          </wp:inline>
        </w:drawing>
      </w:r>
    </w:p>
    <w:p w14:paraId="0D49560B" w14:textId="6185F6FE" w:rsidR="004A0BFA" w:rsidRDefault="00D00F7B" w:rsidP="00D00F7B">
      <w:pPr>
        <w:pStyle w:val="Caption"/>
      </w:pPr>
      <w:r>
        <w:t>Figure 4-</w:t>
      </w:r>
      <w:r w:rsidR="00FC1619">
        <w:fldChar w:fldCharType="begin"/>
      </w:r>
      <w:r w:rsidR="00FC1619">
        <w:instrText xml:space="preserve"> SEQ Figure_4- \* ARABIC </w:instrText>
      </w:r>
      <w:r w:rsidR="00FC1619">
        <w:fldChar w:fldCharType="separate"/>
      </w:r>
      <w:r w:rsidR="00FC1619">
        <w:rPr>
          <w:noProof/>
        </w:rPr>
        <w:t>5</w:t>
      </w:r>
      <w:r w:rsidR="00FC1619">
        <w:rPr>
          <w:noProof/>
        </w:rPr>
        <w:fldChar w:fldCharType="end"/>
      </w:r>
      <w:r w:rsidR="00421740">
        <w:t xml:space="preserve"> </w:t>
      </w:r>
      <w:r>
        <w:t>24-hour dissolved oxygen</w:t>
      </w:r>
    </w:p>
    <w:p w14:paraId="545E203F" w14:textId="77777777" w:rsidR="00911B92" w:rsidRDefault="00911B92" w:rsidP="00AD610F">
      <w:pPr>
        <w:pStyle w:val="Heading2"/>
      </w:pPr>
      <w:bookmarkStart w:id="17" w:name="_Toc424194276"/>
      <w:r>
        <w:t>Bacteria</w:t>
      </w:r>
      <w:bookmarkEnd w:id="17"/>
    </w:p>
    <w:p w14:paraId="20980021" w14:textId="6F0084DE" w:rsidR="00276F11" w:rsidRPr="00D734D2" w:rsidRDefault="000C6C65" w:rsidP="004C5CA1">
      <w:r>
        <w:t xml:space="preserve">Another critical indicator of </w:t>
      </w:r>
      <w:r w:rsidR="00DD625F">
        <w:t xml:space="preserve">nonpoint </w:t>
      </w:r>
      <w:r>
        <w:t>source pollution in the Double</w:t>
      </w:r>
      <w:r w:rsidR="00262620">
        <w:t xml:space="preserve"> Bayou</w:t>
      </w:r>
      <w:r>
        <w:t xml:space="preserve"> watershed is bacteria</w:t>
      </w:r>
      <w:r w:rsidR="003A6DED">
        <w:t>; specifically</w:t>
      </w:r>
      <w:r>
        <w:t xml:space="preserve">, </w:t>
      </w:r>
      <w:r w:rsidR="003A6DED">
        <w:t xml:space="preserve">the fecal indicator bacteria </w:t>
      </w:r>
      <w:r w:rsidRPr="003A6DED">
        <w:rPr>
          <w:i/>
          <w:iCs/>
        </w:rPr>
        <w:t>E. coli</w:t>
      </w:r>
      <w:r w:rsidR="00432E87">
        <w:t xml:space="preserve"> and Enterococci. </w:t>
      </w:r>
      <w:r w:rsidR="00432E87" w:rsidRPr="00432E87">
        <w:rPr>
          <w:i/>
          <w:iCs/>
        </w:rPr>
        <w:t>E. coli</w:t>
      </w:r>
      <w:r w:rsidR="00B44485">
        <w:t xml:space="preserve"> is the preferred non</w:t>
      </w:r>
      <w:r w:rsidR="00432E87" w:rsidRPr="00432E87">
        <w:t xml:space="preserve">tidal </w:t>
      </w:r>
      <w:r w:rsidR="00432E87">
        <w:t>(</w:t>
      </w:r>
      <w:r w:rsidR="00432E87" w:rsidRPr="00432E87">
        <w:t>freshwater</w:t>
      </w:r>
      <w:r w:rsidR="00432E87">
        <w:t>)</w:t>
      </w:r>
      <w:r w:rsidR="00432E87" w:rsidRPr="00432E87">
        <w:t xml:space="preserve"> fecal indicator bacteria and was used </w:t>
      </w:r>
      <w:r w:rsidR="003C4669">
        <w:t>for analysis</w:t>
      </w:r>
      <w:r w:rsidR="00432E87" w:rsidRPr="00432E87">
        <w:t xml:space="preserve"> in the upper </w:t>
      </w:r>
      <w:r w:rsidR="00B44485">
        <w:t>non</w:t>
      </w:r>
      <w:r w:rsidR="008959B7">
        <w:t xml:space="preserve">tidal </w:t>
      </w:r>
      <w:r w:rsidR="00432E87" w:rsidRPr="00432E87">
        <w:rPr>
          <w:color w:val="auto"/>
        </w:rPr>
        <w:t>reaches of the East Fork</w:t>
      </w:r>
      <w:r w:rsidR="00724CC7">
        <w:rPr>
          <w:color w:val="auto"/>
        </w:rPr>
        <w:t xml:space="preserve"> and at the nontidal WWTF</w:t>
      </w:r>
      <w:r w:rsidR="00432E87" w:rsidRPr="00432E87">
        <w:rPr>
          <w:color w:val="auto"/>
        </w:rPr>
        <w:t xml:space="preserve"> to </w:t>
      </w:r>
      <w:r w:rsidR="007E2DD9">
        <w:rPr>
          <w:color w:val="auto"/>
        </w:rPr>
        <w:t>assess bacteria concentrations.</w:t>
      </w:r>
      <w:r w:rsidR="004C5CA1">
        <w:rPr>
          <w:color w:val="auto"/>
        </w:rPr>
        <w:t xml:space="preserve"> </w:t>
      </w:r>
      <w:r w:rsidR="004C5CA1" w:rsidRPr="004C5CA1">
        <w:rPr>
          <w:i/>
          <w:iCs/>
          <w:color w:val="auto"/>
        </w:rPr>
        <w:t>E. coli</w:t>
      </w:r>
      <w:r w:rsidR="004C5CA1">
        <w:rPr>
          <w:color w:val="auto"/>
        </w:rPr>
        <w:t xml:space="preserve"> was utilized at the WWTF station instead of Enterococci because the WWTF NPDES permit also uses </w:t>
      </w:r>
      <w:r w:rsidR="004C5CA1" w:rsidRPr="004C5CA1">
        <w:rPr>
          <w:i/>
          <w:iCs/>
          <w:color w:val="auto"/>
        </w:rPr>
        <w:t>E. coli</w:t>
      </w:r>
      <w:r w:rsidR="004C5CA1">
        <w:rPr>
          <w:color w:val="auto"/>
        </w:rPr>
        <w:t>; a direct comparison can be made.</w:t>
      </w:r>
      <w:r w:rsidR="00A57B13">
        <w:rPr>
          <w:color w:val="auto"/>
        </w:rPr>
        <w:t xml:space="preserve"> </w:t>
      </w:r>
      <w:r w:rsidR="00432E87" w:rsidRPr="00432E87">
        <w:rPr>
          <w:color w:val="auto"/>
        </w:rPr>
        <w:t xml:space="preserve">The preferred tidal </w:t>
      </w:r>
      <w:r w:rsidR="00432E87">
        <w:rPr>
          <w:color w:val="auto"/>
        </w:rPr>
        <w:t>(</w:t>
      </w:r>
      <w:r w:rsidR="00432E87" w:rsidRPr="00432E87">
        <w:rPr>
          <w:color w:val="auto"/>
        </w:rPr>
        <w:t>saline</w:t>
      </w:r>
      <w:r w:rsidR="00432E87">
        <w:rPr>
          <w:color w:val="auto"/>
        </w:rPr>
        <w:t>)</w:t>
      </w:r>
      <w:r w:rsidR="00432E87" w:rsidRPr="00432E87">
        <w:rPr>
          <w:color w:val="auto"/>
        </w:rPr>
        <w:t xml:space="preserve"> waters fecal indicator bacteria is Enterococci</w:t>
      </w:r>
      <w:r w:rsidR="00C02120">
        <w:rPr>
          <w:color w:val="auto"/>
        </w:rPr>
        <w:t xml:space="preserve"> </w:t>
      </w:r>
      <w:r w:rsidR="00C02120">
        <w:rPr>
          <w:color w:val="auto"/>
        </w:rPr>
        <w:fldChar w:fldCharType="begin"/>
      </w:r>
      <w:r w:rsidR="00C02120">
        <w:rPr>
          <w:color w:val="auto"/>
        </w:rPr>
        <w:instrText xml:space="preserve"> ADDIN EN.CITE &lt;EndNote&gt;&lt;Cite&gt;&lt;Author&gt;TCEQ&lt;/Author&gt;&lt;Year&gt;2010&lt;/Year&gt;&lt;RecNum&gt;22&lt;/RecNum&gt;&lt;DisplayText&gt;(TCEQ 2010)&lt;/DisplayText&gt;&lt;record&gt;&lt;rec-number&gt;22&lt;/rec-number&gt;&lt;foreign-keys&gt;&lt;key app="EN" db-id="tse0ewe2av92a6edfpsvaar9d5vawtszwsf9"&gt;22&lt;/key&gt;&lt;/foreign-keys&gt;&lt;ref-type name="Report"&gt;27&lt;/ref-type&gt;&lt;contributors&gt;&lt;authors&gt;&lt;author&gt;TCEQ&lt;/author&gt;&lt;/authors&gt;&lt;subsidiary-authors&gt;&lt;author&gt;Water Quality Planning Division&lt;/author&gt;&lt;/subsidiary-authors&gt;&lt;/contributors&gt;&lt;titles&gt;&lt;title&gt;2010 Guidance for Assessing and Reporting Surface Water Quality in Texas&lt;/title&gt;&lt;/titles&gt;&lt;dates&gt;&lt;year&gt;2010&lt;/year&gt;&lt;pub-dates&gt;&lt;date&gt;8/25/2010&lt;/date&gt;&lt;/pub-dates&gt;&lt;/dates&gt;&lt;publisher&gt;Texas Commision on Environmental Quality &lt;/publisher&gt;&lt;urls&gt;&lt;/urls&gt;&lt;/record&gt;&lt;/Cite&gt;&lt;/EndNote&gt;</w:instrText>
      </w:r>
      <w:r w:rsidR="00C02120">
        <w:rPr>
          <w:color w:val="auto"/>
        </w:rPr>
        <w:fldChar w:fldCharType="separate"/>
      </w:r>
      <w:r w:rsidR="00C02120">
        <w:rPr>
          <w:noProof/>
          <w:color w:val="auto"/>
        </w:rPr>
        <w:t>(</w:t>
      </w:r>
      <w:hyperlink w:anchor="_ENREF_1" w:tooltip="TCEQ, 2010 #22" w:history="1">
        <w:r w:rsidR="00B069B6">
          <w:rPr>
            <w:noProof/>
            <w:color w:val="auto"/>
          </w:rPr>
          <w:t>TCEQ 2010</w:t>
        </w:r>
      </w:hyperlink>
      <w:r w:rsidR="00C02120">
        <w:rPr>
          <w:noProof/>
          <w:color w:val="auto"/>
        </w:rPr>
        <w:t>)</w:t>
      </w:r>
      <w:r w:rsidR="00C02120">
        <w:rPr>
          <w:color w:val="auto"/>
        </w:rPr>
        <w:fldChar w:fldCharType="end"/>
      </w:r>
      <w:r w:rsidR="00432E87" w:rsidRPr="00432E87">
        <w:rPr>
          <w:color w:val="auto"/>
        </w:rPr>
        <w:t>.</w:t>
      </w:r>
      <w:r w:rsidR="00432E87">
        <w:rPr>
          <w:color w:val="auto"/>
        </w:rPr>
        <w:t xml:space="preserve"> These bacteria are the </w:t>
      </w:r>
      <w:r w:rsidR="00432E87" w:rsidRPr="00432E87">
        <w:rPr>
          <w:color w:val="auto"/>
        </w:rPr>
        <w:t>preferred indicator bacterium to determine the level of health risk of fecal contamination</w:t>
      </w:r>
      <w:r w:rsidR="00432E87">
        <w:rPr>
          <w:color w:val="auto"/>
        </w:rPr>
        <w:t xml:space="preserve"> and associated pathogens in their respective waterbodies. </w:t>
      </w:r>
      <w:r w:rsidR="00660511">
        <w:rPr>
          <w:color w:val="auto"/>
        </w:rPr>
        <w:t xml:space="preserve">The effluent </w:t>
      </w:r>
      <w:r w:rsidR="00660511" w:rsidRPr="00A57B13">
        <w:rPr>
          <w:i/>
          <w:iCs/>
          <w:color w:val="auto"/>
        </w:rPr>
        <w:t>E. coli</w:t>
      </w:r>
      <w:r w:rsidR="00660511">
        <w:rPr>
          <w:color w:val="auto"/>
        </w:rPr>
        <w:t xml:space="preserve"> concentrations are also monitored by the Anahuac WWTF as a stipulation to self-report under their NPDES permit. </w:t>
      </w:r>
      <w:r w:rsidR="00276F11">
        <w:rPr>
          <w:color w:val="auto"/>
        </w:rPr>
        <w:t xml:space="preserve">The fecal indicator bacterium are not </w:t>
      </w:r>
      <w:r w:rsidR="007E2DD9">
        <w:rPr>
          <w:color w:val="auto"/>
        </w:rPr>
        <w:t>a</w:t>
      </w:r>
      <w:r w:rsidR="00276F11">
        <w:rPr>
          <w:color w:val="auto"/>
        </w:rPr>
        <w:t xml:space="preserve"> primary threat to human health</w:t>
      </w:r>
      <w:r w:rsidR="003C4669">
        <w:rPr>
          <w:color w:val="auto"/>
        </w:rPr>
        <w:t>,</w:t>
      </w:r>
      <w:r w:rsidR="00276F11">
        <w:rPr>
          <w:color w:val="auto"/>
        </w:rPr>
        <w:t xml:space="preserve"> but serve as an indicator for potential harmful </w:t>
      </w:r>
      <w:r w:rsidR="00276F11" w:rsidRPr="00276F11">
        <w:rPr>
          <w:color w:val="auto"/>
        </w:rPr>
        <w:t>pathogenic microorganisms</w:t>
      </w:r>
      <w:r w:rsidR="00276F11">
        <w:rPr>
          <w:color w:val="auto"/>
        </w:rPr>
        <w:t xml:space="preserve"> and fecal waste contamination. </w:t>
      </w:r>
      <w:r w:rsidR="00276F11" w:rsidRPr="00724CC7">
        <w:rPr>
          <w:color w:val="auto"/>
        </w:rPr>
        <w:t xml:space="preserve">The presence of </w:t>
      </w:r>
      <w:r w:rsidR="00276F11">
        <w:rPr>
          <w:color w:val="auto"/>
        </w:rPr>
        <w:t xml:space="preserve">bacteria </w:t>
      </w:r>
      <w:r w:rsidR="00276F11" w:rsidRPr="00724CC7">
        <w:rPr>
          <w:color w:val="auto"/>
        </w:rPr>
        <w:t>can indicate other impacts on the water body such as a high level of inorganic nutrients (i.e. nitrogen and phosphorus).</w:t>
      </w:r>
    </w:p>
    <w:p w14:paraId="205EBF56" w14:textId="6CCF3C59" w:rsidR="00C60A66" w:rsidRDefault="007E2DD9" w:rsidP="00D00F7B">
      <w:r>
        <w:t xml:space="preserve">Typically, </w:t>
      </w:r>
      <w:r w:rsidR="00D85690">
        <w:t xml:space="preserve">two different benchmarks </w:t>
      </w:r>
      <w:r>
        <w:t>are</w:t>
      </w:r>
      <w:r w:rsidR="00D85690">
        <w:t xml:space="preserve"> utilized </w:t>
      </w:r>
      <w:r w:rsidR="003F25F2">
        <w:t xml:space="preserve">by TCEQ </w:t>
      </w:r>
      <w:r w:rsidR="00D85690">
        <w:t xml:space="preserve">to determine the bacteria impairments of </w:t>
      </w:r>
      <w:r>
        <w:t>a water body</w:t>
      </w:r>
      <w:r w:rsidR="00AC3D44">
        <w:t>.</w:t>
      </w:r>
      <w:r w:rsidR="00262620">
        <w:t xml:space="preserve"> </w:t>
      </w:r>
      <w:r w:rsidR="00EF0E04">
        <w:t>The first method, known as a single s</w:t>
      </w:r>
      <w:r w:rsidR="009350C8">
        <w:t>ample benchmark, can be utilized</w:t>
      </w:r>
      <w:r w:rsidR="002F7C0B">
        <w:t xml:space="preserve"> to asses</w:t>
      </w:r>
      <w:r>
        <w:t>s</w:t>
      </w:r>
      <w:r w:rsidR="00EF0E04">
        <w:t xml:space="preserve"> a </w:t>
      </w:r>
      <w:r w:rsidR="00605EFE">
        <w:t>one-time</w:t>
      </w:r>
      <w:r w:rsidR="00EF0E04">
        <w:t xml:space="preserve"> grab sample or multiple grab samples over a period of time</w:t>
      </w:r>
      <w:r w:rsidR="00D00F7B">
        <w:t xml:space="preserve"> (</w:t>
      </w:r>
      <w:r w:rsidR="00D00F7B">
        <w:fldChar w:fldCharType="begin"/>
      </w:r>
      <w:r w:rsidR="00D00F7B">
        <w:instrText xml:space="preserve"> REF _Ref426376822 \h </w:instrText>
      </w:r>
      <w:r w:rsidR="00D00F7B">
        <w:fldChar w:fldCharType="separate"/>
      </w:r>
      <w:r w:rsidR="00FC1619">
        <w:t>Figure 4-</w:t>
      </w:r>
      <w:r w:rsidR="00FC1619">
        <w:rPr>
          <w:noProof/>
        </w:rPr>
        <w:t>6</w:t>
      </w:r>
      <w:r w:rsidR="00FC1619">
        <w:t xml:space="preserve"> </w:t>
      </w:r>
      <w:r w:rsidR="00FC1619" w:rsidRPr="004A0BFA">
        <w:t>Single sample bacteria exceedances</w:t>
      </w:r>
      <w:r w:rsidR="00D00F7B">
        <w:fldChar w:fldCharType="end"/>
      </w:r>
      <w:r w:rsidR="00D00F7B">
        <w:t>)</w:t>
      </w:r>
      <w:r w:rsidR="00EF0E04">
        <w:t>. The</w:t>
      </w:r>
      <w:r w:rsidR="003E0392">
        <w:t xml:space="preserve"> </w:t>
      </w:r>
      <w:r w:rsidR="00262620">
        <w:t xml:space="preserve">single sample </w:t>
      </w:r>
      <w:r w:rsidR="003E0392">
        <w:t xml:space="preserve">benchmark of </w:t>
      </w:r>
      <w:r w:rsidR="003E0392" w:rsidRPr="008705B7">
        <w:t>394 MPN</w:t>
      </w:r>
      <w:r w:rsidR="007A4438">
        <w:t>/100 mL</w:t>
      </w:r>
      <w:r w:rsidR="003E0392">
        <w:t xml:space="preserve"> was used for </w:t>
      </w:r>
      <w:r w:rsidR="003E0392" w:rsidRPr="003E0392">
        <w:rPr>
          <w:i/>
          <w:iCs/>
        </w:rPr>
        <w:t>E. coli</w:t>
      </w:r>
      <w:r w:rsidR="003E0392">
        <w:rPr>
          <w:i/>
          <w:iCs/>
        </w:rPr>
        <w:t xml:space="preserve"> </w:t>
      </w:r>
      <w:r w:rsidR="003E0392">
        <w:t>at the EFU</w:t>
      </w:r>
      <w:r w:rsidR="00724CC7">
        <w:t xml:space="preserve"> and WWTF</w:t>
      </w:r>
      <w:r w:rsidR="003E0392">
        <w:t xml:space="preserve"> </w:t>
      </w:r>
      <w:r w:rsidR="00B44485">
        <w:t>non</w:t>
      </w:r>
      <w:r w:rsidR="00B44485" w:rsidRPr="00432E87">
        <w:t>tidal</w:t>
      </w:r>
      <w:r w:rsidR="00B44485">
        <w:t xml:space="preserve"> </w:t>
      </w:r>
      <w:r w:rsidR="003E0392">
        <w:t>station</w:t>
      </w:r>
      <w:r w:rsidR="00724CC7">
        <w:t>s</w:t>
      </w:r>
      <w:r w:rsidR="003E0392">
        <w:t xml:space="preserve"> while the </w:t>
      </w:r>
      <w:r w:rsidR="00EF0E04">
        <w:t xml:space="preserve">single sample benchmark </w:t>
      </w:r>
      <w:r w:rsidR="003E0392">
        <w:t>of 89 MPN</w:t>
      </w:r>
      <w:r w:rsidR="007A4438">
        <w:t>/100 mL</w:t>
      </w:r>
      <w:r w:rsidR="003E0392">
        <w:t xml:space="preserve"> was used f</w:t>
      </w:r>
      <w:r w:rsidR="00724CC7">
        <w:t xml:space="preserve">or Enterococci at the EFL, WFU and </w:t>
      </w:r>
      <w:r w:rsidR="003E0392">
        <w:t>WFL sampling stations</w:t>
      </w:r>
      <w:r w:rsidR="00C02120">
        <w:t xml:space="preserve"> </w:t>
      </w:r>
      <w:r w:rsidR="00C02120">
        <w:fldChar w:fldCharType="begin"/>
      </w:r>
      <w:r w:rsidR="00C02120">
        <w:instrText xml:space="preserve"> ADDIN EN.CITE &lt;EndNote&gt;&lt;Cite&gt;&lt;Author&gt;TCEQ&lt;/Author&gt;&lt;Year&gt;2010&lt;/Year&gt;&lt;RecNum&gt;22&lt;/RecNum&gt;&lt;DisplayText&gt;(TCEQ 2010)&lt;/DisplayText&gt;&lt;record&gt;&lt;rec-number&gt;22&lt;/rec-number&gt;&lt;foreign-keys&gt;&lt;key app="EN" db-id="tse0ewe2av92a6edfpsvaar9d5vawtszwsf9"&gt;22&lt;/key&gt;&lt;/foreign-keys&gt;&lt;ref-type name="Report"&gt;27&lt;/ref-type&gt;&lt;contributors&gt;&lt;authors&gt;&lt;author&gt;TCEQ&lt;/author&gt;&lt;/authors&gt;&lt;subsidiary-authors&gt;&lt;author&gt;Water Quality Planning Division&lt;/author&gt;&lt;/subsidiary-authors&gt;&lt;/contributors&gt;&lt;titles&gt;&lt;title&gt;2010 Guidance for Assessing and Reporting Surface Water Quality in Texas&lt;/title&gt;&lt;/titles&gt;&lt;dates&gt;&lt;year&gt;2010&lt;/year&gt;&lt;pub-dates&gt;&lt;date&gt;8/25/2010&lt;/date&gt;&lt;/pub-dates&gt;&lt;/dates&gt;&lt;publisher&gt;Texas Commision on Environmental Quality &lt;/publisher&gt;&lt;urls&gt;&lt;/urls&gt;&lt;/record&gt;&lt;/Cite&gt;&lt;/EndNote&gt;</w:instrText>
      </w:r>
      <w:r w:rsidR="00C02120">
        <w:fldChar w:fldCharType="separate"/>
      </w:r>
      <w:r w:rsidR="00C02120">
        <w:rPr>
          <w:noProof/>
        </w:rPr>
        <w:t>(</w:t>
      </w:r>
      <w:hyperlink w:anchor="_ENREF_1" w:tooltip="TCEQ, 2010 #22" w:history="1">
        <w:r w:rsidR="00B069B6">
          <w:rPr>
            <w:noProof/>
          </w:rPr>
          <w:t>TCEQ 2010</w:t>
        </w:r>
      </w:hyperlink>
      <w:r w:rsidR="00C02120">
        <w:rPr>
          <w:noProof/>
        </w:rPr>
        <w:t>)</w:t>
      </w:r>
      <w:r w:rsidR="00C02120">
        <w:fldChar w:fldCharType="end"/>
      </w:r>
      <w:r w:rsidR="003E0392">
        <w:t xml:space="preserve">. </w:t>
      </w:r>
      <w:r w:rsidR="007A4438">
        <w:t xml:space="preserve">(Note that bacteria units are </w:t>
      </w:r>
      <w:r w:rsidR="00874683">
        <w:t xml:space="preserve">typically </w:t>
      </w:r>
      <w:r w:rsidR="007A4438">
        <w:t>identified as colony forming units (</w:t>
      </w:r>
      <w:proofErr w:type="spellStart"/>
      <w:r w:rsidR="007A4438">
        <w:t>cfu</w:t>
      </w:r>
      <w:proofErr w:type="spellEnd"/>
      <w:r w:rsidR="007A4438">
        <w:t xml:space="preserve">) </w:t>
      </w:r>
      <w:r w:rsidR="00874683">
        <w:t xml:space="preserve">or most probable number </w:t>
      </w:r>
      <w:r w:rsidR="00874683">
        <w:lastRenderedPageBreak/>
        <w:t>(</w:t>
      </w:r>
      <w:proofErr w:type="spellStart"/>
      <w:r w:rsidR="00874683">
        <w:t>mpn</w:t>
      </w:r>
      <w:proofErr w:type="spellEnd"/>
      <w:r w:rsidR="00874683">
        <w:t xml:space="preserve">) according to the lab method used for analysis; during our sampling period, bacteria were identified in the lab in units of </w:t>
      </w:r>
      <w:proofErr w:type="spellStart"/>
      <w:r w:rsidR="00874683">
        <w:t>mpn</w:t>
      </w:r>
      <w:proofErr w:type="spellEnd"/>
      <w:r w:rsidR="00874683">
        <w:t xml:space="preserve"> and this discussion will reflect that.  The SELECT model (Chapter 5, Section 5.3) uses </w:t>
      </w:r>
      <w:proofErr w:type="spellStart"/>
      <w:r w:rsidR="00874683">
        <w:t>cfu</w:t>
      </w:r>
      <w:proofErr w:type="spellEnd"/>
      <w:r w:rsidR="00874683">
        <w:t xml:space="preserve"> for bacteria units; these units reflect the same in terms of amount of bacteria.) </w:t>
      </w:r>
      <w:r w:rsidR="003E0392">
        <w:t xml:space="preserve">The number of samples that exceed the appropriate benchmark is often </w:t>
      </w:r>
      <w:r w:rsidR="00605EFE">
        <w:t xml:space="preserve">depicted </w:t>
      </w:r>
      <w:r w:rsidR="003E0392">
        <w:t xml:space="preserve">as a percent exceedance, which equals the </w:t>
      </w:r>
      <w:r w:rsidR="00724CC7">
        <w:t xml:space="preserve">total </w:t>
      </w:r>
      <w:r w:rsidR="003E0392">
        <w:t xml:space="preserve">number of samples at the sampling station divide by the number of samples that </w:t>
      </w:r>
      <w:r w:rsidR="00AC3D44">
        <w:t>exceed</w:t>
      </w:r>
      <w:r w:rsidR="00724CC7">
        <w:t xml:space="preserve"> the bacteria benchmark. Because rain events have a high degree of influence on the bacteria concentrations in the bayou the bacteria data is typically subdivided </w:t>
      </w:r>
      <w:r>
        <w:t>in</w:t>
      </w:r>
      <w:r w:rsidR="00724CC7">
        <w:t>to</w:t>
      </w:r>
      <w:r>
        <w:t xml:space="preserve"> the two sampling categories;</w:t>
      </w:r>
      <w:r w:rsidR="00724CC7">
        <w:t xml:space="preserve"> </w:t>
      </w:r>
      <w:r>
        <w:t>routine and targeted</w:t>
      </w:r>
      <w:r w:rsidR="00724CC7">
        <w:t xml:space="preserve"> for separate analysis. </w:t>
      </w:r>
    </w:p>
    <w:p w14:paraId="63676209" w14:textId="77777777" w:rsidR="00D00F7B" w:rsidRDefault="00C60A66" w:rsidP="00D00F7B">
      <w:pPr>
        <w:keepNext/>
        <w:jc w:val="center"/>
      </w:pPr>
      <w:r>
        <w:rPr>
          <w:noProof/>
        </w:rPr>
        <w:drawing>
          <wp:inline distT="0" distB="0" distL="0" distR="0" wp14:anchorId="6F13E186" wp14:editId="6C713061">
            <wp:extent cx="5916168" cy="3383280"/>
            <wp:effectExtent l="0" t="0" r="8890" b="7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ingle sample.PNG"/>
                    <pic:cNvPicPr preferRelativeResize="0"/>
                  </pic:nvPicPr>
                  <pic:blipFill rotWithShape="1">
                    <a:blip r:embed="rId13">
                      <a:extLst>
                        <a:ext uri="{28A0092B-C50C-407E-A947-70E740481C1C}">
                          <a14:useLocalDpi xmlns:a14="http://schemas.microsoft.com/office/drawing/2010/main" val="0"/>
                        </a:ext>
                      </a:extLst>
                    </a:blip>
                    <a:srcRect l="963" t="1120" r="1122" b="1643"/>
                    <a:stretch/>
                  </pic:blipFill>
                  <pic:spPr bwMode="auto">
                    <a:xfrm>
                      <a:off x="0" y="0"/>
                      <a:ext cx="5916168" cy="3383280"/>
                    </a:xfrm>
                    <a:prstGeom prst="rect">
                      <a:avLst/>
                    </a:prstGeom>
                    <a:ln>
                      <a:noFill/>
                    </a:ln>
                    <a:extLst>
                      <a:ext uri="{53640926-AAD7-44D8-BBD7-CCE9431645EC}">
                        <a14:shadowObscured xmlns:a14="http://schemas.microsoft.com/office/drawing/2010/main"/>
                      </a:ext>
                    </a:extLst>
                  </pic:spPr>
                </pic:pic>
              </a:graphicData>
            </a:graphic>
          </wp:inline>
        </w:drawing>
      </w:r>
    </w:p>
    <w:p w14:paraId="5B6B8A08" w14:textId="3B731855" w:rsidR="009F0B5A" w:rsidRDefault="00D00F7B" w:rsidP="00D00F7B">
      <w:pPr>
        <w:pStyle w:val="Caption"/>
      </w:pPr>
      <w:bookmarkStart w:id="18" w:name="_Ref426376822"/>
      <w:r>
        <w:t>Figure 4-</w:t>
      </w:r>
      <w:r w:rsidR="00FC1619">
        <w:fldChar w:fldCharType="begin"/>
      </w:r>
      <w:r w:rsidR="00FC1619">
        <w:instrText xml:space="preserve"> SEQ Figure_4- \* ARABIC </w:instrText>
      </w:r>
      <w:r w:rsidR="00FC1619">
        <w:fldChar w:fldCharType="separate"/>
      </w:r>
      <w:r w:rsidR="00FC1619">
        <w:rPr>
          <w:noProof/>
        </w:rPr>
        <w:t>6</w:t>
      </w:r>
      <w:r w:rsidR="00FC1619">
        <w:rPr>
          <w:noProof/>
        </w:rPr>
        <w:fldChar w:fldCharType="end"/>
      </w:r>
      <w:r>
        <w:t xml:space="preserve"> </w:t>
      </w:r>
      <w:r w:rsidRPr="004A0BFA">
        <w:t>Single sample bacteria exceedances</w:t>
      </w:r>
      <w:bookmarkEnd w:id="18"/>
    </w:p>
    <w:p w14:paraId="3381754E" w14:textId="58B2CD0E" w:rsidR="009B449B" w:rsidRDefault="009B449B" w:rsidP="000413B3">
      <w:r>
        <w:t xml:space="preserve">The nontidal sampling station with the most number of bacteria exceedances was the EFU station with 4 routine and 4 targeted single sample </w:t>
      </w:r>
      <w:r w:rsidRPr="009B449B">
        <w:rPr>
          <w:i/>
          <w:iCs/>
        </w:rPr>
        <w:t>E. coli</w:t>
      </w:r>
      <w:r w:rsidR="007018F3">
        <w:t xml:space="preserve"> benchmark exceedances.</w:t>
      </w:r>
      <w:r w:rsidR="003F25F2">
        <w:t xml:space="preserve"> </w:t>
      </w:r>
      <w:r>
        <w:t xml:space="preserve">13% of the routine samples and 57% of targeted </w:t>
      </w:r>
      <w:r w:rsidR="0066108D">
        <w:t xml:space="preserve">single </w:t>
      </w:r>
      <w:r>
        <w:t xml:space="preserve">samples collected at the EFU station were over the TCEQ </w:t>
      </w:r>
      <w:r w:rsidR="00864455">
        <w:t>benchmark of 394 MPN</w:t>
      </w:r>
      <w:r w:rsidR="007A4438">
        <w:t>/100 mL</w:t>
      </w:r>
      <w:r w:rsidR="00864455">
        <w:t xml:space="preserve">. The WFU station had the highest percent of exceedance (71%) for </w:t>
      </w:r>
      <w:r w:rsidR="007018F3">
        <w:t xml:space="preserve">routine Enterococci monitoring. </w:t>
      </w:r>
      <w:r w:rsidR="00864455">
        <w:t>The</w:t>
      </w:r>
      <w:r w:rsidR="00350F13">
        <w:t xml:space="preserve"> tidal</w:t>
      </w:r>
      <w:r w:rsidR="00864455">
        <w:t xml:space="preserve"> targeted sampling percent of exceedance was </w:t>
      </w:r>
      <w:r w:rsidR="00350F13">
        <w:t xml:space="preserve">highest (71%) at both the WFU and WFL stations while the EFL had the fewest number of routine and targeted tidal exceedances at 35% and 57%, respectively. </w:t>
      </w:r>
      <w:r w:rsidR="000413B3">
        <w:t>Figure 4-6</w:t>
      </w:r>
      <w:r w:rsidR="00864455">
        <w:t xml:space="preserve"> reveals that the percent of exceedance for the targeted samples was higher than the percent exceedances of routine samples at all of the Double Bayou monitoring stations</w:t>
      </w:r>
      <w:r w:rsidR="0066108D">
        <w:t xml:space="preserve"> for the duration of the sampling period</w:t>
      </w:r>
      <w:r w:rsidR="00864455">
        <w:t xml:space="preserve">. </w:t>
      </w:r>
    </w:p>
    <w:p w14:paraId="1C9A5FF5" w14:textId="77777777" w:rsidR="002B589F" w:rsidRDefault="00B858D6" w:rsidP="000413B3">
      <w:r>
        <w:t>The second benchmark that is often used to analyze bacteria concentrations is a geometric mean</w:t>
      </w:r>
      <w:r w:rsidR="003F25F2">
        <w:t>;</w:t>
      </w:r>
      <w:r>
        <w:t xml:space="preserve"> this analysis typically includes </w:t>
      </w:r>
      <w:r w:rsidRPr="00AC5602">
        <w:t xml:space="preserve">multiple </w:t>
      </w:r>
      <w:r>
        <w:t>samples over a longer time period</w:t>
      </w:r>
      <w:r w:rsidR="000413B3">
        <w:t xml:space="preserve"> (</w:t>
      </w:r>
      <w:r w:rsidR="000413B3">
        <w:fldChar w:fldCharType="begin"/>
      </w:r>
      <w:r w:rsidR="000413B3">
        <w:instrText xml:space="preserve"> REF _Ref426376906 \h </w:instrText>
      </w:r>
      <w:r w:rsidR="000413B3">
        <w:fldChar w:fldCharType="separate"/>
      </w:r>
      <w:r w:rsidR="00FC1619">
        <w:t>Figure 4-</w:t>
      </w:r>
      <w:r w:rsidR="00FC1619">
        <w:rPr>
          <w:noProof/>
        </w:rPr>
        <w:t>7</w:t>
      </w:r>
      <w:r w:rsidR="00FC1619">
        <w:t xml:space="preserve"> Bacteria geometric means</w:t>
      </w:r>
      <w:r w:rsidR="000413B3">
        <w:fldChar w:fldCharType="end"/>
      </w:r>
      <w:r w:rsidR="000413B3">
        <w:t>)</w:t>
      </w:r>
      <w:r>
        <w:t xml:space="preserve">. The TCEQ uses a geometric mean based </w:t>
      </w:r>
      <w:r w:rsidR="003F25F2">
        <w:t xml:space="preserve">criterion </w:t>
      </w:r>
      <w:r>
        <w:t xml:space="preserve">to indicate bacteria impairments for recreational waterbodies. The geometric mean was also used to conduct bacteria </w:t>
      </w:r>
      <w:r>
        <w:lastRenderedPageBreak/>
        <w:t xml:space="preserve">analysis for this WPP because the geometric mean is a type of average that normalizes the sampling </w:t>
      </w:r>
      <w:r w:rsidR="00590BC2">
        <w:t>data over a period of time. The</w:t>
      </w:r>
      <w:r w:rsidRPr="008705B7">
        <w:t xml:space="preserve"> </w:t>
      </w:r>
      <w:r w:rsidR="00590BC2">
        <w:t xml:space="preserve">geometric </w:t>
      </w:r>
      <w:r w:rsidRPr="008705B7">
        <w:t xml:space="preserve">mean </w:t>
      </w:r>
      <w:r w:rsidR="003F25F2">
        <w:t xml:space="preserve">criterion </w:t>
      </w:r>
      <w:r w:rsidRPr="008705B7">
        <w:t xml:space="preserve">for </w:t>
      </w:r>
      <w:r w:rsidRPr="00C47141">
        <w:rPr>
          <w:i/>
          <w:iCs/>
        </w:rPr>
        <w:t>E. coli</w:t>
      </w:r>
      <w:r>
        <w:t xml:space="preserve"> is 126 MPN</w:t>
      </w:r>
      <w:r w:rsidR="007A4438">
        <w:t>/100 mL</w:t>
      </w:r>
      <w:r>
        <w:t xml:space="preserve"> while t</w:t>
      </w:r>
      <w:r w:rsidRPr="008705B7">
        <w:t>he</w:t>
      </w:r>
      <w:r w:rsidR="00590BC2">
        <w:t xml:space="preserve"> </w:t>
      </w:r>
      <w:r w:rsidRPr="008705B7">
        <w:t xml:space="preserve">geometric mean </w:t>
      </w:r>
      <w:r w:rsidR="003F25F2">
        <w:t xml:space="preserve">criterion </w:t>
      </w:r>
      <w:r w:rsidRPr="008705B7">
        <w:t>for</w:t>
      </w:r>
      <w:r>
        <w:t xml:space="preserve"> Enterococci is 35 MPN</w:t>
      </w:r>
      <w:r w:rsidR="007A4438">
        <w:t>/100 mL</w:t>
      </w:r>
      <w:r>
        <w:t xml:space="preserve"> </w:t>
      </w:r>
      <w:r>
        <w:fldChar w:fldCharType="begin"/>
      </w:r>
      <w:r>
        <w:instrText xml:space="preserve"> ADDIN EN.CITE &lt;EndNote&gt;&lt;Cite&gt;&lt;Author&gt;TCEQ&lt;/Author&gt;&lt;Year&gt;2012&lt;/Year&gt;&lt;RecNum&gt;23&lt;/RecNum&gt;&lt;DisplayText&gt;(TCEQ 2012)&lt;/DisplayText&gt;&lt;record&gt;&lt;rec-number&gt;23&lt;/rec-number&gt;&lt;foreign-keys&gt;&lt;key app="EN" db-id="tse0ewe2av92a6edfpsvaar9d5vawtszwsf9"&gt;23&lt;/key&gt;&lt;/foreign-keys&gt;&lt;ref-type name="Report"&gt;27&lt;/ref-type&gt;&lt;contributors&gt;&lt;authors&gt;&lt;author&gt;TCEQ&lt;/author&gt;&lt;/authors&gt;&lt;subsidiary-authors&gt;&lt;author&gt;Water Quality Planning &lt;/author&gt;&lt;/subsidiary-authors&gt;&lt;/contributors&gt;&lt;titles&gt;&lt;title&gt;2012 Guidance for Assessing and Reporting Surface Water Quality in Texas&lt;/title&gt;&lt;/titles&gt;&lt;dates&gt;&lt;year&gt;2012&lt;/year&gt;&lt;pub-dates&gt;&lt;date&gt;May 2012&lt;/date&gt;&lt;/pub-dates&gt;&lt;/dates&gt;&lt;publisher&gt;Texas Commision on Environmental Quality &lt;/publisher&gt;&lt;urls&gt;&lt;/urls&gt;&lt;/record&gt;&lt;/Cite&gt;&lt;/EndNote&gt;</w:instrText>
      </w:r>
      <w:r>
        <w:fldChar w:fldCharType="separate"/>
      </w:r>
      <w:r>
        <w:rPr>
          <w:noProof/>
        </w:rPr>
        <w:t>(</w:t>
      </w:r>
      <w:hyperlink w:anchor="_ENREF_2" w:tooltip="TCEQ, 2012 #23" w:history="1">
        <w:r w:rsidR="00B069B6">
          <w:rPr>
            <w:noProof/>
          </w:rPr>
          <w:t>TCEQ 2012</w:t>
        </w:r>
      </w:hyperlink>
      <w:r>
        <w:rPr>
          <w:noProof/>
        </w:rPr>
        <w:t>)</w:t>
      </w:r>
      <w:r>
        <w:fldChar w:fldCharType="end"/>
      </w:r>
      <w:r>
        <w:t xml:space="preserve">. These benchmarks are based on the TCEQ’s </w:t>
      </w:r>
      <w:r w:rsidRPr="00AC5602">
        <w:t>primary contact (i.e. swimming, w</w:t>
      </w:r>
      <w:r>
        <w:t>ater skiing and surfing</w:t>
      </w:r>
      <w:r w:rsidRPr="00AC5602">
        <w:t xml:space="preserve">) </w:t>
      </w:r>
      <w:r>
        <w:t xml:space="preserve">standards for reactional waterbodies. Targeted samples are not included in the geometric mean calculations. </w:t>
      </w:r>
    </w:p>
    <w:p w14:paraId="7F9E9B29" w14:textId="220C2380" w:rsidR="00D00F7B" w:rsidRDefault="002B589F" w:rsidP="002B589F">
      <w:r>
        <w:rPr>
          <w:noProof/>
        </w:rPr>
        <w:drawing>
          <wp:inline distT="0" distB="0" distL="0" distR="0" wp14:anchorId="1A43FA8D" wp14:editId="49EB85E5">
            <wp:extent cx="5916168" cy="3383280"/>
            <wp:effectExtent l="0" t="0" r="8890" b="762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6168" cy="3383280"/>
                    </a:xfrm>
                    <a:prstGeom prst="rect">
                      <a:avLst/>
                    </a:prstGeom>
                    <a:noFill/>
                  </pic:spPr>
                </pic:pic>
              </a:graphicData>
            </a:graphic>
          </wp:inline>
        </w:drawing>
      </w:r>
    </w:p>
    <w:p w14:paraId="696D22F6" w14:textId="5AF48EA7" w:rsidR="004A0BFA" w:rsidRDefault="00D00F7B" w:rsidP="00D00F7B">
      <w:pPr>
        <w:pStyle w:val="Caption"/>
      </w:pPr>
      <w:bookmarkStart w:id="19" w:name="_Ref426376906"/>
      <w:r>
        <w:t>Figure 4-</w:t>
      </w:r>
      <w:r w:rsidR="00FC1619">
        <w:fldChar w:fldCharType="begin"/>
      </w:r>
      <w:r w:rsidR="00FC1619">
        <w:instrText xml:space="preserve"> SEQ Figure_4- \* ARABIC </w:instrText>
      </w:r>
      <w:r w:rsidR="00FC1619">
        <w:fldChar w:fldCharType="separate"/>
      </w:r>
      <w:r w:rsidR="00FC1619">
        <w:rPr>
          <w:noProof/>
        </w:rPr>
        <w:t>7</w:t>
      </w:r>
      <w:r w:rsidR="00FC1619">
        <w:rPr>
          <w:noProof/>
        </w:rPr>
        <w:fldChar w:fldCharType="end"/>
      </w:r>
      <w:r>
        <w:t xml:space="preserve"> Bacteria geometric means</w:t>
      </w:r>
      <w:bookmarkEnd w:id="19"/>
    </w:p>
    <w:p w14:paraId="3761AD52" w14:textId="50DF4A3F" w:rsidR="00796C9F" w:rsidRDefault="006B3207" w:rsidP="00A46E4E">
      <w:r>
        <w:t xml:space="preserve">All three of the Double Bayou tidal monitoring stations exceeded the </w:t>
      </w:r>
      <w:r w:rsidRPr="006B3207">
        <w:t>geometric me</w:t>
      </w:r>
      <w:r>
        <w:t>an benchmark for Enterococci (</w:t>
      </w:r>
      <w:r w:rsidRPr="006B3207">
        <w:t>35 MPN</w:t>
      </w:r>
      <w:r w:rsidR="007A4438">
        <w:t>/100 mL</w:t>
      </w:r>
      <w:r w:rsidR="00D3722B">
        <w:t>).</w:t>
      </w:r>
      <w:r w:rsidR="00181FFC">
        <w:t xml:space="preserve"> Of the three tidal stations the WFU had the hi</w:t>
      </w:r>
      <w:r w:rsidR="00A46E4E">
        <w:t>ghest geometric mean while the E</w:t>
      </w:r>
      <w:r w:rsidR="00181FFC">
        <w:t xml:space="preserve">FL station had the lowest. </w:t>
      </w:r>
      <w:r w:rsidR="00A46E4E">
        <w:t>T</w:t>
      </w:r>
      <w:r>
        <w:t xml:space="preserve">he EFU station </w:t>
      </w:r>
      <w:r w:rsidR="00A46E4E">
        <w:t xml:space="preserve">did not </w:t>
      </w:r>
      <w:r>
        <w:t xml:space="preserve">exceeded the </w:t>
      </w:r>
      <w:r w:rsidRPr="006B3207">
        <w:t>geometri</w:t>
      </w:r>
      <w:r>
        <w:t xml:space="preserve">c mean benchmark for </w:t>
      </w:r>
      <w:r w:rsidRPr="00B16EF5">
        <w:rPr>
          <w:i/>
          <w:iCs/>
        </w:rPr>
        <w:t>E. coli</w:t>
      </w:r>
      <w:r>
        <w:t xml:space="preserve"> (</w:t>
      </w:r>
      <w:r w:rsidRPr="006B3207">
        <w:t>126 MPN</w:t>
      </w:r>
      <w:r w:rsidR="007A4438">
        <w:t>/100 mL</w:t>
      </w:r>
      <w:r>
        <w:t xml:space="preserve">). </w:t>
      </w:r>
      <w:r w:rsidR="00A46E4E">
        <w:t xml:space="preserve">In addition, </w:t>
      </w:r>
      <w:r w:rsidR="00D3722B">
        <w:t xml:space="preserve">the WWTF station </w:t>
      </w:r>
      <w:r w:rsidR="00A46E4E">
        <w:t xml:space="preserve">has a geometric mean </w:t>
      </w:r>
      <w:r w:rsidR="00D3722B">
        <w:t xml:space="preserve">significantly lower than the benchmark. </w:t>
      </w:r>
    </w:p>
    <w:p w14:paraId="50261CCD" w14:textId="77777777" w:rsidR="00D00F7B" w:rsidRDefault="004C3FCC" w:rsidP="00D00F7B">
      <w:pPr>
        <w:keepNext/>
        <w:jc w:val="center"/>
      </w:pPr>
      <w:r w:rsidRPr="00796C9F">
        <w:rPr>
          <w:noProof/>
        </w:rPr>
        <w:lastRenderedPageBreak/>
        <w:drawing>
          <wp:inline distT="0" distB="0" distL="0" distR="0" wp14:anchorId="1901EC29" wp14:editId="79CDACCB">
            <wp:extent cx="4306824" cy="5202936"/>
            <wp:effectExtent l="0" t="0" r="0" b="0"/>
            <wp:docPr id="13" name="Picture 13" descr="C:\Users\rbare\AppData\Local\Microsoft\Windows\Temporary Internet Files\Content.Outlook\6C0H4H0D\dbbact (0000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are\AppData\Local\Microsoft\Windows\Temporary Internet Files\Content.Outlook\6C0H4H0D\dbbact (0000000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636"/>
                    <a:stretch/>
                  </pic:blipFill>
                  <pic:spPr bwMode="auto">
                    <a:xfrm>
                      <a:off x="0" y="0"/>
                      <a:ext cx="4306824" cy="5202936"/>
                    </a:xfrm>
                    <a:prstGeom prst="rect">
                      <a:avLst/>
                    </a:prstGeom>
                    <a:noFill/>
                    <a:ln>
                      <a:noFill/>
                    </a:ln>
                    <a:extLst>
                      <a:ext uri="{53640926-AAD7-44D8-BBD7-CCE9431645EC}">
                        <a14:shadowObscured xmlns:a14="http://schemas.microsoft.com/office/drawing/2010/main"/>
                      </a:ext>
                    </a:extLst>
                  </pic:spPr>
                </pic:pic>
              </a:graphicData>
            </a:graphic>
          </wp:inline>
        </w:drawing>
      </w:r>
    </w:p>
    <w:p w14:paraId="036BC354" w14:textId="66899A09" w:rsidR="00D00F7B" w:rsidRDefault="00D00F7B" w:rsidP="00D00F7B">
      <w:pPr>
        <w:pStyle w:val="Caption"/>
      </w:pPr>
      <w:bookmarkStart w:id="20" w:name="_Ref426376933"/>
      <w:r>
        <w:t>Figure 4-</w:t>
      </w:r>
      <w:r w:rsidR="00FC1619">
        <w:fldChar w:fldCharType="begin"/>
      </w:r>
      <w:r w:rsidR="00FC1619">
        <w:instrText xml:space="preserve"> SEQ Figure_4- \* ARABIC </w:instrText>
      </w:r>
      <w:r w:rsidR="00FC1619">
        <w:fldChar w:fldCharType="separate"/>
      </w:r>
      <w:r w:rsidR="00FC1619">
        <w:rPr>
          <w:noProof/>
        </w:rPr>
        <w:t>8</w:t>
      </w:r>
      <w:r w:rsidR="00FC1619">
        <w:rPr>
          <w:noProof/>
        </w:rPr>
        <w:fldChar w:fldCharType="end"/>
      </w:r>
      <w:r>
        <w:t xml:space="preserve"> Targeted bacteria sampling results</w:t>
      </w:r>
      <w:bookmarkEnd w:id="20"/>
    </w:p>
    <w:p w14:paraId="1A374B9D" w14:textId="29F3BCF7" w:rsidR="00041CD3" w:rsidRDefault="00A60A6C" w:rsidP="000413B3">
      <w:r>
        <w:t>The largest targeted rainfall event</w:t>
      </w:r>
      <w:r w:rsidR="00EA622D">
        <w:t xml:space="preserve"> (2.80 inches)</w:t>
      </w:r>
      <w:r>
        <w:t xml:space="preserve"> occurred on </w:t>
      </w:r>
      <w:r w:rsidR="00EA622D">
        <w:t>4/17/2015</w:t>
      </w:r>
      <w:r w:rsidR="003F25F2">
        <w:t>;</w:t>
      </w:r>
      <w:r w:rsidR="00EA622D">
        <w:t xml:space="preserve"> however</w:t>
      </w:r>
      <w:r w:rsidR="004C5CA1">
        <w:t>,</w:t>
      </w:r>
      <w:r w:rsidR="00EA622D">
        <w:t xml:space="preserve"> 0 days had</w:t>
      </w:r>
      <w:r w:rsidR="00EB5537">
        <w:t xml:space="preserve"> passed since the last rainfall;</w:t>
      </w:r>
      <w:r w:rsidR="00EA622D">
        <w:t xml:space="preserve"> 2.50 inches of rain was</w:t>
      </w:r>
      <w:r w:rsidR="002C38BD">
        <w:t xml:space="preserve"> also</w:t>
      </w:r>
      <w:r w:rsidR="00EA622D">
        <w:t xml:space="preserve"> received over the five days pri</w:t>
      </w:r>
      <w:r w:rsidR="00EB5537">
        <w:t>or to the 4/17/2015 rain event</w:t>
      </w:r>
      <w:r w:rsidR="000413B3">
        <w:t xml:space="preserve"> (</w:t>
      </w:r>
      <w:r w:rsidR="000413B3">
        <w:fldChar w:fldCharType="begin"/>
      </w:r>
      <w:r w:rsidR="000413B3">
        <w:instrText xml:space="preserve"> REF _Ref426376933 \h </w:instrText>
      </w:r>
      <w:r w:rsidR="000413B3">
        <w:fldChar w:fldCharType="separate"/>
      </w:r>
      <w:r w:rsidR="00FC1619">
        <w:t>Figure 4-</w:t>
      </w:r>
      <w:r w:rsidR="00FC1619">
        <w:rPr>
          <w:noProof/>
        </w:rPr>
        <w:t>8</w:t>
      </w:r>
      <w:r w:rsidR="00FC1619">
        <w:t xml:space="preserve"> Targeted bacteria sampling results</w:t>
      </w:r>
      <w:r w:rsidR="000413B3">
        <w:fldChar w:fldCharType="end"/>
      </w:r>
      <w:r w:rsidR="004A0BFA">
        <w:t>)</w:t>
      </w:r>
      <w:r w:rsidR="00EB5537">
        <w:t xml:space="preserve">. The highest concentration of targeted sampling </w:t>
      </w:r>
      <w:r w:rsidR="00EB5537" w:rsidRPr="00EB5537">
        <w:rPr>
          <w:i/>
          <w:iCs/>
        </w:rPr>
        <w:t>E. coli</w:t>
      </w:r>
      <w:r w:rsidR="00EB5537">
        <w:t xml:space="preserve"> was recorded at the WWTF (49,000 MPN</w:t>
      </w:r>
      <w:r w:rsidR="007A4438">
        <w:t>/100 mL</w:t>
      </w:r>
      <w:r w:rsidR="00EB5537">
        <w:t>) and at the EFU (9,600 MPN</w:t>
      </w:r>
      <w:r w:rsidR="007A4438">
        <w:t>/</w:t>
      </w:r>
      <w:r w:rsidR="00EB5537">
        <w:t xml:space="preserve">100 mL) sampling stations during this rain event. However, the remaining three stations did not receive their highest amount of bacteria nonpoint source runoff during the most intense rain event. </w:t>
      </w:r>
    </w:p>
    <w:p w14:paraId="51A3C356" w14:textId="4D927B5B" w:rsidR="00911B92" w:rsidRDefault="00A05E41" w:rsidP="00AD610F">
      <w:pPr>
        <w:pStyle w:val="Heading2"/>
      </w:pPr>
      <w:bookmarkStart w:id="21" w:name="_Toc424194277"/>
      <w:r>
        <w:t>Nutrients and Chlorophyll-</w:t>
      </w:r>
      <w:r w:rsidR="00911B92">
        <w:t>a</w:t>
      </w:r>
      <w:bookmarkEnd w:id="21"/>
    </w:p>
    <w:p w14:paraId="7DE51B7C" w14:textId="108EDD9C" w:rsidR="004C3FCC" w:rsidRDefault="00B84B8E" w:rsidP="004C3FCC">
      <w:r>
        <w:t xml:space="preserve">Nutrients and their associated </w:t>
      </w:r>
      <w:r w:rsidR="00077A3F">
        <w:t xml:space="preserve">indicator of algae biomass, </w:t>
      </w:r>
      <w:r w:rsidR="00165CC9">
        <w:t>Chl</w:t>
      </w:r>
      <w:r w:rsidR="00A05E41">
        <w:t>orophyll-</w:t>
      </w:r>
      <w:r w:rsidR="004C0083">
        <w:t>a,</w:t>
      </w:r>
      <w:r w:rsidR="00077A3F">
        <w:t xml:space="preserve"> are</w:t>
      </w:r>
      <w:r w:rsidR="00F7113F">
        <w:t xml:space="preserve"> the third class of </w:t>
      </w:r>
      <w:r w:rsidR="00165CC9">
        <w:t xml:space="preserve">indicator </w:t>
      </w:r>
      <w:r w:rsidR="00F7113F">
        <w:t>used to determine if</w:t>
      </w:r>
      <w:r w:rsidR="00165CC9">
        <w:t xml:space="preserve"> excessive </w:t>
      </w:r>
      <w:r w:rsidR="00DD625F">
        <w:t xml:space="preserve">nonpoint </w:t>
      </w:r>
      <w:r w:rsidR="00165CC9">
        <w:t xml:space="preserve">source pollution </w:t>
      </w:r>
      <w:r w:rsidR="00F7113F">
        <w:t>is prevalent in</w:t>
      </w:r>
      <w:r w:rsidR="00165CC9">
        <w:t xml:space="preserve"> Double Bayou. </w:t>
      </w:r>
      <w:r w:rsidR="00A05E41">
        <w:t>Chlorophyll-</w:t>
      </w:r>
      <w:r w:rsidR="00542580" w:rsidRPr="00542580">
        <w:t>a is a green pigment found in plants that absorbs sunlight and converts it to sugar during photosynthesis using nutrients such as phosphorus and nitrogen</w:t>
      </w:r>
      <w:r w:rsidR="00077A3F">
        <w:t xml:space="preserve">. </w:t>
      </w:r>
      <w:r w:rsidR="00542580" w:rsidRPr="00542580">
        <w:t>High levels often indicate poor water quality and low levels often suggest good conditions</w:t>
      </w:r>
      <w:r w:rsidR="00077A3F">
        <w:t xml:space="preserve"> but</w:t>
      </w:r>
      <w:r w:rsidR="00542580" w:rsidRPr="00542580">
        <w:t xml:space="preserve"> it is the overall </w:t>
      </w:r>
      <w:r w:rsidR="00542580" w:rsidRPr="00542580">
        <w:lastRenderedPageBreak/>
        <w:t>cycle that is important</w:t>
      </w:r>
      <w:r w:rsidR="00077A3F">
        <w:t>. However, l</w:t>
      </w:r>
      <w:r w:rsidR="00077A3F" w:rsidRPr="00542580">
        <w:t xml:space="preserve">ong-term </w:t>
      </w:r>
      <w:r w:rsidR="00077A3F">
        <w:t xml:space="preserve">persistence of elevated levels </w:t>
      </w:r>
      <w:r w:rsidR="00077A3F" w:rsidRPr="00542580">
        <w:t>can be problematic</w:t>
      </w:r>
      <w:r w:rsidR="00077A3F">
        <w:t>.</w:t>
      </w:r>
      <w:r w:rsidR="001B7FDD">
        <w:t xml:space="preserve"> </w:t>
      </w:r>
      <w:r w:rsidR="00A05E41">
        <w:t>Chlorophyll-</w:t>
      </w:r>
      <w:proofErr w:type="gramStart"/>
      <w:r w:rsidR="001B7FDD" w:rsidRPr="001B7FDD">
        <w:t>a</w:t>
      </w:r>
      <w:r w:rsidR="001B7FDD">
        <w:t xml:space="preserve"> is</w:t>
      </w:r>
      <w:proofErr w:type="gramEnd"/>
      <w:r w:rsidR="001B7FDD">
        <w:t xml:space="preserve"> often used as an i</w:t>
      </w:r>
      <w:r w:rsidR="001B7FDD" w:rsidRPr="00542580">
        <w:t>ndicator of phytoplankton abundance and biomass in coastal and estuarine waters</w:t>
      </w:r>
      <w:r w:rsidR="001B7FDD">
        <w:t>.</w:t>
      </w:r>
    </w:p>
    <w:p w14:paraId="614365E5" w14:textId="77777777" w:rsidR="00D00F7B" w:rsidRDefault="004C3FCC" w:rsidP="00D00F7B">
      <w:pPr>
        <w:keepNext/>
        <w:jc w:val="center"/>
      </w:pPr>
      <w:r w:rsidRPr="004C3FCC">
        <w:rPr>
          <w:noProof/>
        </w:rPr>
        <w:drawing>
          <wp:inline distT="0" distB="0" distL="0" distR="0" wp14:anchorId="000C27C6" wp14:editId="46065973">
            <wp:extent cx="4288536" cy="5202936"/>
            <wp:effectExtent l="0" t="0" r="0" b="0"/>
            <wp:docPr id="14" name="Picture 14" descr="C:\Users\rbare\AppData\Local\Microsoft\Windows\Temporary Internet Files\Content.Outlook\6C0H4H0D\dbnutrient (000000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bare\AppData\Local\Microsoft\Windows\Temporary Internet Files\Content.Outlook\6C0H4H0D\dbnutrient (00000004).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0" t="494" r="320" b="6741"/>
                    <a:stretch/>
                  </pic:blipFill>
                  <pic:spPr bwMode="auto">
                    <a:xfrm>
                      <a:off x="0" y="0"/>
                      <a:ext cx="4288536" cy="5202936"/>
                    </a:xfrm>
                    <a:prstGeom prst="rect">
                      <a:avLst/>
                    </a:prstGeom>
                    <a:noFill/>
                    <a:ln>
                      <a:noFill/>
                    </a:ln>
                    <a:extLst>
                      <a:ext uri="{53640926-AAD7-44D8-BBD7-CCE9431645EC}">
                        <a14:shadowObscured xmlns:a14="http://schemas.microsoft.com/office/drawing/2010/main"/>
                      </a:ext>
                    </a:extLst>
                  </pic:spPr>
                </pic:pic>
              </a:graphicData>
            </a:graphic>
          </wp:inline>
        </w:drawing>
      </w:r>
    </w:p>
    <w:p w14:paraId="42BA4D12" w14:textId="1EE28059" w:rsidR="00D00F7B" w:rsidRDefault="00D00F7B" w:rsidP="00D00F7B">
      <w:pPr>
        <w:pStyle w:val="Caption"/>
      </w:pPr>
      <w:bookmarkStart w:id="22" w:name="_Ref426377567"/>
      <w:r>
        <w:t>Figure 4-</w:t>
      </w:r>
      <w:r w:rsidR="00FC1619">
        <w:fldChar w:fldCharType="begin"/>
      </w:r>
      <w:r w:rsidR="00FC1619">
        <w:instrText xml:space="preserve"> SEQ Figure_4- \* ARABIC </w:instrText>
      </w:r>
      <w:r w:rsidR="00FC1619">
        <w:fldChar w:fldCharType="separate"/>
      </w:r>
      <w:r w:rsidR="00FC1619">
        <w:rPr>
          <w:noProof/>
        </w:rPr>
        <w:t>9</w:t>
      </w:r>
      <w:r w:rsidR="00FC1619">
        <w:rPr>
          <w:noProof/>
        </w:rPr>
        <w:fldChar w:fldCharType="end"/>
      </w:r>
      <w:r>
        <w:t xml:space="preserve"> Nutrient percent of exceedance</w:t>
      </w:r>
      <w:bookmarkEnd w:id="22"/>
    </w:p>
    <w:p w14:paraId="618BEE89" w14:textId="16C578E0" w:rsidR="00BF094B" w:rsidRDefault="00BF094B" w:rsidP="00BF094B">
      <w:r>
        <w:t>Among the various forms of nitr</w:t>
      </w:r>
      <w:r w:rsidR="00CF7533">
        <w:t>ogen sampled by the USGS</w:t>
      </w:r>
      <w:r w:rsidR="003F25F2">
        <w:t>,</w:t>
      </w:r>
      <w:r w:rsidR="00CF7533">
        <w:t xml:space="preserve"> </w:t>
      </w:r>
      <w:r w:rsidR="003F25F2">
        <w:t>n</w:t>
      </w:r>
      <w:r w:rsidR="00CF7533">
        <w:t>itrate</w:t>
      </w:r>
      <w:r>
        <w:t xml:space="preserve">, </w:t>
      </w:r>
      <w:r w:rsidR="003F25F2">
        <w:t>o</w:t>
      </w:r>
      <w:r>
        <w:t xml:space="preserve">rthophosphate, </w:t>
      </w:r>
      <w:r w:rsidR="003F25F2">
        <w:t>t</w:t>
      </w:r>
      <w:r>
        <w:t xml:space="preserve">otal phosphorus and </w:t>
      </w:r>
      <w:r w:rsidR="003F25F2">
        <w:t>a</w:t>
      </w:r>
      <w:r>
        <w:t>mmonia were chosen for analysis. It is important to monitor</w:t>
      </w:r>
      <w:r w:rsidR="007641EB">
        <w:t xml:space="preserve"> these</w:t>
      </w:r>
      <w:r>
        <w:t xml:space="preserve"> nutrients because excess concentrations can lead to eutrophication. </w:t>
      </w:r>
      <w:r w:rsidRPr="00AC5602">
        <w:t xml:space="preserve">Eutrophication occurs when </w:t>
      </w:r>
      <w:r w:rsidR="007641EB">
        <w:t>excessive nonpoint source</w:t>
      </w:r>
      <w:r w:rsidRPr="00AC5602">
        <w:t xml:space="preserve"> nutrients fuel a phyto</w:t>
      </w:r>
      <w:r>
        <w:t xml:space="preserve">plankton bloom. This bloom can only be supported for a short period of time until </w:t>
      </w:r>
      <w:r w:rsidRPr="00AC5602">
        <w:t>large amounts of the phytoplankton die off in unison and sink to the bottom of the water column</w:t>
      </w:r>
      <w:r>
        <w:t>. T</w:t>
      </w:r>
      <w:r w:rsidRPr="00AC5602">
        <w:t>heir</w:t>
      </w:r>
      <w:r>
        <w:t xml:space="preserve"> subsequent</w:t>
      </w:r>
      <w:r w:rsidRPr="00AC5602">
        <w:t xml:space="preserve"> decomposition uses up available dissolved oxygen </w:t>
      </w:r>
      <w:r>
        <w:t>and depresses oxygen levels</w:t>
      </w:r>
      <w:r w:rsidRPr="00AC5602">
        <w:t>. The decreased oxygen levels can lead to die off of organisms such as fish and invertebrates. The</w:t>
      </w:r>
      <w:r w:rsidR="003F25F2">
        <w:t>se</w:t>
      </w:r>
      <w:r w:rsidRPr="00AC5602">
        <w:t xml:space="preserve"> organisms then sink</w:t>
      </w:r>
      <w:r>
        <w:t xml:space="preserve"> to the underlying hypoxic zone</w:t>
      </w:r>
      <w:r w:rsidRPr="00AC5602">
        <w:t xml:space="preserve"> and use more oxygen as they decompose. This exacerbates the hypoxic conditions and continues to </w:t>
      </w:r>
      <w:r>
        <w:t>suppre</w:t>
      </w:r>
      <w:r w:rsidRPr="00AC5602">
        <w:t>ss oxygen levels eventually rendering the water body unsuitable for life.</w:t>
      </w:r>
    </w:p>
    <w:p w14:paraId="5A2A76D1" w14:textId="4D401697" w:rsidR="00911B92" w:rsidRDefault="003E23C5" w:rsidP="00B069B6">
      <w:r w:rsidRPr="003E23C5">
        <w:lastRenderedPageBreak/>
        <w:t xml:space="preserve">Concerns for general uses are identified with screening levels </w:t>
      </w:r>
      <w:r w:rsidR="00A05E41">
        <w:t>for nutrients and chlorophyll-</w:t>
      </w:r>
      <w:r>
        <w:t xml:space="preserve">a. </w:t>
      </w:r>
      <w:r w:rsidR="00A77A50">
        <w:t>TCEQ s</w:t>
      </w:r>
      <w:r w:rsidRPr="003E23C5">
        <w:t>creening level</w:t>
      </w:r>
      <w:r w:rsidR="00A05E41">
        <w:t>s for nutrients and chlorophyll-</w:t>
      </w:r>
      <w:proofErr w:type="gramStart"/>
      <w:r w:rsidRPr="003E23C5">
        <w:t>a</w:t>
      </w:r>
      <w:proofErr w:type="gramEnd"/>
      <w:r w:rsidRPr="003E23C5">
        <w:t xml:space="preserve"> </w:t>
      </w:r>
      <w:r w:rsidR="00A77A50">
        <w:t>are</w:t>
      </w:r>
      <w:r w:rsidRPr="003E23C5">
        <w:t xml:space="preserve"> statistically derived from monitoring </w:t>
      </w:r>
      <w:r w:rsidR="00A77A50">
        <w:t>data. Double Bayou West Fork was identified as a concern for water quality based on screening levels for chlorophyll-a in th</w:t>
      </w:r>
      <w:r w:rsidR="00B069B6">
        <w:t xml:space="preserve">e 2012 Texas Integrated Report </w:t>
      </w:r>
      <w:r w:rsidR="00B069B6">
        <w:fldChar w:fldCharType="begin"/>
      </w:r>
      <w:r w:rsidR="00B069B6">
        <w:instrText xml:space="preserve"> ADDIN EN.CITE &lt;EndNote&gt;&lt;Cite&gt;&lt;Author&gt;TCEQ&lt;/Author&gt;&lt;Year&gt;2012&lt;/Year&gt;&lt;RecNum&gt;23&lt;/RecNum&gt;&lt;DisplayText&gt;(TCEQ 2012)&lt;/DisplayText&gt;&lt;record&gt;&lt;rec-number&gt;23&lt;/rec-number&gt;&lt;foreign-keys&gt;&lt;key app="EN" db-id="tse0ewe2av92a6edfpsvaar9d5vawtszwsf9"&gt;23&lt;/key&gt;&lt;/foreign-keys&gt;&lt;ref-type name="Report"&gt;27&lt;/ref-type&gt;&lt;contributors&gt;&lt;authors&gt;&lt;author&gt;TCEQ&lt;/author&gt;&lt;/authors&gt;&lt;subsidiary-authors&gt;&lt;author&gt;Water Quality Planning &lt;/author&gt;&lt;/subsidiary-authors&gt;&lt;/contributors&gt;&lt;titles&gt;&lt;title&gt;2012 Guidance for Assessing and Reporting Surface Water Quality in Texas&lt;/title&gt;&lt;/titles&gt;&lt;dates&gt;&lt;year&gt;2012&lt;/year&gt;&lt;pub-dates&gt;&lt;date&gt;May 2012&lt;/date&gt;&lt;/pub-dates&gt;&lt;/dates&gt;&lt;publisher&gt;Texas Commision on Environmental Quality &lt;/publisher&gt;&lt;urls&gt;&lt;/urls&gt;&lt;/record&gt;&lt;/Cite&gt;&lt;/EndNote&gt;</w:instrText>
      </w:r>
      <w:r w:rsidR="00B069B6">
        <w:fldChar w:fldCharType="separate"/>
      </w:r>
      <w:r w:rsidR="00B069B6">
        <w:rPr>
          <w:noProof/>
        </w:rPr>
        <w:t>(</w:t>
      </w:r>
      <w:hyperlink w:anchor="_ENREF_2" w:tooltip="TCEQ, 2012 #23" w:history="1">
        <w:r w:rsidR="00B069B6">
          <w:rPr>
            <w:noProof/>
          </w:rPr>
          <w:t>TCEQ 2012</w:t>
        </w:r>
      </w:hyperlink>
      <w:r w:rsidR="00B069B6">
        <w:rPr>
          <w:noProof/>
        </w:rPr>
        <w:t>)</w:t>
      </w:r>
      <w:r w:rsidR="00B069B6">
        <w:fldChar w:fldCharType="end"/>
      </w:r>
      <w:r w:rsidR="00A77A50">
        <w:t>.</w:t>
      </w:r>
      <w:r w:rsidR="00BF094B">
        <w:t xml:space="preserve"> </w:t>
      </w:r>
      <w:r>
        <w:t>I</w:t>
      </w:r>
      <w:r w:rsidR="00BF094B">
        <w:t xml:space="preserve">t is important to monitor the nutrient levels in Double Bayou to assess </w:t>
      </w:r>
      <w:r w:rsidR="007018F3">
        <w:t xml:space="preserve">the long term nutrient trends. </w:t>
      </w:r>
      <w:r w:rsidR="00BF094B">
        <w:t>Tracking of the nutrients can serve as early detection if the number of exceedances start to increase or a new activity in the watershed is causing an excessive nonpoint source loading of nitrogen. Over the 19 month study period</w:t>
      </w:r>
      <w:r w:rsidR="003F25F2">
        <w:t>,</w:t>
      </w:r>
      <w:r w:rsidR="00BF094B">
        <w:t xml:space="preserve"> the highest percent of exceedance</w:t>
      </w:r>
      <w:r w:rsidR="003F25F2">
        <w:t>s</w:t>
      </w:r>
      <w:r w:rsidR="00BF094B">
        <w:t xml:space="preserve"> of ammonia, phosphorus and nitrate were at the WWTF station</w:t>
      </w:r>
      <w:r w:rsidR="00A05E41">
        <w:t xml:space="preserve"> (</w:t>
      </w:r>
      <w:r w:rsidR="00A05E41">
        <w:fldChar w:fldCharType="begin"/>
      </w:r>
      <w:r w:rsidR="00A05E41">
        <w:instrText xml:space="preserve"> REF _Ref426377567 \h </w:instrText>
      </w:r>
      <w:r w:rsidR="00A05E41">
        <w:fldChar w:fldCharType="separate"/>
      </w:r>
      <w:r w:rsidR="00FC1619">
        <w:t>Figure 4-</w:t>
      </w:r>
      <w:r w:rsidR="00FC1619">
        <w:rPr>
          <w:noProof/>
        </w:rPr>
        <w:t>9</w:t>
      </w:r>
      <w:r w:rsidR="00FC1619">
        <w:t xml:space="preserve"> Nutrient percent of exceedance</w:t>
      </w:r>
      <w:r w:rsidR="00A05E41">
        <w:fldChar w:fldCharType="end"/>
      </w:r>
      <w:r w:rsidR="00A05E41">
        <w:t>). Chlorophyll-</w:t>
      </w:r>
      <w:proofErr w:type="gramStart"/>
      <w:r w:rsidR="00BF094B">
        <w:t>a had</w:t>
      </w:r>
      <w:proofErr w:type="gramEnd"/>
      <w:r w:rsidR="00BF094B">
        <w:t xml:space="preserve"> the highest percent of exceedance at WFL. </w:t>
      </w:r>
    </w:p>
    <w:p w14:paraId="2A1D21D2" w14:textId="77777777" w:rsidR="00911B92" w:rsidRDefault="00911B92" w:rsidP="00B6699D"/>
    <w:p w14:paraId="014A36B9" w14:textId="7811E90F" w:rsidR="00BF094B" w:rsidRDefault="00BF094B" w:rsidP="00B6699D"/>
    <w:p w14:paraId="1CD6F127" w14:textId="77777777" w:rsidR="00BF094B" w:rsidRDefault="00BF094B" w:rsidP="00B6699D"/>
    <w:p w14:paraId="7CEE309E" w14:textId="77777777" w:rsidR="00BF094B" w:rsidRDefault="00BF094B" w:rsidP="00B6699D"/>
    <w:p w14:paraId="58CC1A3A" w14:textId="77777777" w:rsidR="00BF094B" w:rsidRDefault="00BF094B" w:rsidP="00B6699D"/>
    <w:p w14:paraId="29171497" w14:textId="77777777" w:rsidR="00BF094B" w:rsidRDefault="00BF094B" w:rsidP="00B6699D"/>
    <w:p w14:paraId="757D9F72" w14:textId="77777777" w:rsidR="00BF094B" w:rsidRDefault="00BF094B" w:rsidP="00B6699D"/>
    <w:p w14:paraId="6F5ADA43" w14:textId="77777777" w:rsidR="00BF094B" w:rsidRDefault="00BF094B" w:rsidP="00B6699D"/>
    <w:p w14:paraId="172204B1" w14:textId="77777777" w:rsidR="00BF094B" w:rsidRDefault="00BF094B" w:rsidP="00B6699D"/>
    <w:p w14:paraId="0F1AB799" w14:textId="77777777" w:rsidR="00BF094B" w:rsidRDefault="00BF094B" w:rsidP="00B6699D"/>
    <w:p w14:paraId="0F021787" w14:textId="77777777" w:rsidR="00BF094B" w:rsidRDefault="00BF094B" w:rsidP="00B6699D"/>
    <w:p w14:paraId="4F32ED2B" w14:textId="77777777" w:rsidR="00352B7F" w:rsidRDefault="00352B7F" w:rsidP="00B6699D"/>
    <w:p w14:paraId="3A5DB2AB" w14:textId="77777777" w:rsidR="00911B92" w:rsidRDefault="00911B92" w:rsidP="00B6699D"/>
    <w:p w14:paraId="22E1C756" w14:textId="77777777" w:rsidR="007641EB" w:rsidRDefault="007641EB" w:rsidP="00B6699D"/>
    <w:p w14:paraId="626AE806" w14:textId="77777777" w:rsidR="004C3FCC" w:rsidRDefault="004C3FCC" w:rsidP="00B6699D"/>
    <w:p w14:paraId="379C1D84" w14:textId="77777777" w:rsidR="00911B92" w:rsidRDefault="00911B92" w:rsidP="00B6699D"/>
    <w:p w14:paraId="1508C70E" w14:textId="77777777" w:rsidR="007A41A8" w:rsidRPr="007A493C" w:rsidRDefault="007A41A8" w:rsidP="007A41A8">
      <w:pPr>
        <w:spacing w:after="0" w:line="240" w:lineRule="auto"/>
        <w:ind w:left="720" w:hanging="720"/>
        <w:rPr>
          <w:rFonts w:cs="Times New Roman"/>
          <w:noProof/>
        </w:rPr>
      </w:pPr>
      <w:r w:rsidRPr="007A493C">
        <w:rPr>
          <w:rFonts w:cs="Times New Roman"/>
          <w:noProof/>
        </w:rPr>
        <w:t xml:space="preserve">TCEQ (2010). 2010 Guidance for Assessing and Reporting Surface Water Quality in Texas, Texas Commision on Environmental Quality </w:t>
      </w:r>
    </w:p>
    <w:p w14:paraId="7B253128" w14:textId="1E428111" w:rsidR="00911B92" w:rsidRPr="00B069B6" w:rsidRDefault="007A41A8" w:rsidP="00B069B6">
      <w:pPr>
        <w:spacing w:line="240" w:lineRule="auto"/>
        <w:ind w:left="720" w:hanging="720"/>
        <w:rPr>
          <w:rFonts w:cs="Times New Roman"/>
          <w:noProof/>
        </w:rPr>
      </w:pPr>
      <w:r w:rsidRPr="007A493C">
        <w:rPr>
          <w:rFonts w:cs="Times New Roman"/>
          <w:noProof/>
        </w:rPr>
        <w:t xml:space="preserve">TCEQ (2012). 2012 Guidance for Assessing and Reporting Surface Water Quality in Texas, Texas Commision on Environmental Quality </w:t>
      </w:r>
    </w:p>
    <w:sectPr w:rsidR="00911B92" w:rsidRPr="00B069B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F0D71" w14:textId="77777777" w:rsidR="008017A1" w:rsidRDefault="008017A1" w:rsidP="008017A1">
      <w:pPr>
        <w:spacing w:after="0" w:line="240" w:lineRule="auto"/>
      </w:pPr>
      <w:r>
        <w:separator/>
      </w:r>
    </w:p>
  </w:endnote>
  <w:endnote w:type="continuationSeparator" w:id="0">
    <w:p w14:paraId="763A4A8B" w14:textId="77777777" w:rsidR="008017A1" w:rsidRDefault="008017A1" w:rsidP="00801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42D1D" w14:textId="77777777" w:rsidR="00FC1619" w:rsidRDefault="00FC16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89190"/>
      <w:docPartObj>
        <w:docPartGallery w:val="Page Numbers (Bottom of Page)"/>
        <w:docPartUnique/>
      </w:docPartObj>
    </w:sdtPr>
    <w:sdtEndPr>
      <w:rPr>
        <w:noProof/>
      </w:rPr>
    </w:sdtEndPr>
    <w:sdtContent>
      <w:p w14:paraId="44FF6D1F" w14:textId="1D23056C" w:rsidR="00F65FE9" w:rsidRDefault="00F65FE9">
        <w:pPr>
          <w:pStyle w:val="Footer"/>
          <w:jc w:val="right"/>
        </w:pPr>
        <w:r>
          <w:fldChar w:fldCharType="begin"/>
        </w:r>
        <w:r>
          <w:instrText xml:space="preserve"> PAGE   \* MERGEFORMAT </w:instrText>
        </w:r>
        <w:r>
          <w:fldChar w:fldCharType="separate"/>
        </w:r>
        <w:r w:rsidR="00FC1619">
          <w:rPr>
            <w:noProof/>
          </w:rPr>
          <w:t>4</w:t>
        </w:r>
        <w:r>
          <w:rPr>
            <w:noProof/>
          </w:rPr>
          <w:fldChar w:fldCharType="end"/>
        </w:r>
      </w:p>
    </w:sdtContent>
  </w:sdt>
  <w:p w14:paraId="4EC0784C" w14:textId="77777777" w:rsidR="00F65FE9" w:rsidRDefault="00F65F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255A7" w14:textId="77777777" w:rsidR="00FC1619" w:rsidRDefault="00FC1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B515E" w14:textId="77777777" w:rsidR="008017A1" w:rsidRDefault="008017A1" w:rsidP="008017A1">
      <w:pPr>
        <w:spacing w:after="0" w:line="240" w:lineRule="auto"/>
      </w:pPr>
      <w:r>
        <w:separator/>
      </w:r>
    </w:p>
  </w:footnote>
  <w:footnote w:type="continuationSeparator" w:id="0">
    <w:p w14:paraId="41A67890" w14:textId="77777777" w:rsidR="008017A1" w:rsidRDefault="008017A1" w:rsidP="008017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7D306" w14:textId="77777777" w:rsidR="00FC1619" w:rsidRDefault="00FC16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212718"/>
      <w:docPartObj>
        <w:docPartGallery w:val="Watermarks"/>
        <w:docPartUnique/>
      </w:docPartObj>
    </w:sdtPr>
    <w:sdtContent>
      <w:p w14:paraId="6487A137" w14:textId="26E4F9DD" w:rsidR="00FC1619" w:rsidRDefault="00FC1619">
        <w:pPr>
          <w:pStyle w:val="Header"/>
        </w:pPr>
        <w:r>
          <w:rPr>
            <w:noProof/>
            <w:lang w:eastAsia="en-US"/>
          </w:rPr>
          <w:pict w14:anchorId="64BCD7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1C734" w14:textId="77777777" w:rsidR="00FC1619" w:rsidRDefault="00FC16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C3D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273003"/>
    <w:multiLevelType w:val="multilevel"/>
    <w:tmpl w:val="8716D1B4"/>
    <w:lvl w:ilvl="0">
      <w:start w:val="2"/>
      <w:numFmt w:val="none"/>
      <w:pStyle w:val="Heading1"/>
      <w:lvlText w:val="4"/>
      <w:lvlJc w:val="left"/>
      <w:pPr>
        <w:ind w:left="432" w:hanging="432"/>
      </w:pPr>
      <w:rPr>
        <w:rFonts w:hint="default"/>
      </w:rPr>
    </w:lvl>
    <w:lvl w:ilvl="1">
      <w:start w:val="1"/>
      <w:numFmt w:val="decimal"/>
      <w:pStyle w:val="Heading2"/>
      <w:lvlText w:val="%14.%2"/>
      <w:lvlJc w:val="left"/>
      <w:pPr>
        <w:ind w:left="576" w:hanging="576"/>
      </w:pPr>
      <w:rPr>
        <w:rFonts w:hint="default"/>
      </w:rPr>
    </w:lvl>
    <w:lvl w:ilvl="2">
      <w:start w:val="1"/>
      <w:numFmt w:val="decimal"/>
      <w:pStyle w:val="Heading3"/>
      <w:lvlText w:val="%14.%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207A2073"/>
    <w:multiLevelType w:val="hybridMultilevel"/>
    <w:tmpl w:val="D6F05C44"/>
    <w:lvl w:ilvl="0" w:tplc="03647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632992"/>
    <w:multiLevelType w:val="hybridMultilevel"/>
    <w:tmpl w:val="0CDCD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3A0528"/>
    <w:multiLevelType w:val="multilevel"/>
    <w:tmpl w:val="10A29DE4"/>
    <w:lvl w:ilvl="0">
      <w:start w:val="2"/>
      <w:numFmt w:val="none"/>
      <w:lvlText w:val="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5CA57156"/>
    <w:multiLevelType w:val="multilevel"/>
    <w:tmpl w:val="10A29DE4"/>
    <w:lvl w:ilvl="0">
      <w:start w:val="2"/>
      <w:numFmt w:val="none"/>
      <w:lvlText w:val="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
  </w:num>
  <w:num w:numId="2">
    <w:abstractNumId w:val="2"/>
  </w:num>
  <w:num w:numId="3">
    <w:abstractNumId w:val="5"/>
  </w:num>
  <w:num w:numId="4">
    <w:abstractNumId w:val="0"/>
  </w:num>
  <w:num w:numId="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se0ewe2av92a6edfpsvaar9d5vawtszwsf9&quot;&gt;Double Bayou&lt;record-ids&gt;&lt;item&gt;22&lt;/item&gt;&lt;item&gt;23&lt;/item&gt;&lt;/record-ids&gt;&lt;/item&gt;&lt;/Libraries&gt;"/>
  </w:docVars>
  <w:rsids>
    <w:rsidRoot w:val="008B159B"/>
    <w:rsid w:val="00006DE4"/>
    <w:rsid w:val="00007A4D"/>
    <w:rsid w:val="00007AFF"/>
    <w:rsid w:val="00012BCE"/>
    <w:rsid w:val="00015C90"/>
    <w:rsid w:val="00016AA2"/>
    <w:rsid w:val="00026713"/>
    <w:rsid w:val="000339AC"/>
    <w:rsid w:val="00036E6A"/>
    <w:rsid w:val="000413B3"/>
    <w:rsid w:val="00041CD3"/>
    <w:rsid w:val="00045CAF"/>
    <w:rsid w:val="00047721"/>
    <w:rsid w:val="000610DE"/>
    <w:rsid w:val="000708B5"/>
    <w:rsid w:val="00075557"/>
    <w:rsid w:val="0007729B"/>
    <w:rsid w:val="00077A3F"/>
    <w:rsid w:val="000824E5"/>
    <w:rsid w:val="00082C26"/>
    <w:rsid w:val="00085C58"/>
    <w:rsid w:val="000879B3"/>
    <w:rsid w:val="000952C6"/>
    <w:rsid w:val="000956AD"/>
    <w:rsid w:val="000A3A58"/>
    <w:rsid w:val="000A48B1"/>
    <w:rsid w:val="000B173C"/>
    <w:rsid w:val="000C6C65"/>
    <w:rsid w:val="000D2E23"/>
    <w:rsid w:val="000E46A4"/>
    <w:rsid w:val="000F5261"/>
    <w:rsid w:val="000F6687"/>
    <w:rsid w:val="000F6BAC"/>
    <w:rsid w:val="000F6BFF"/>
    <w:rsid w:val="001038EF"/>
    <w:rsid w:val="001136EA"/>
    <w:rsid w:val="001217A0"/>
    <w:rsid w:val="00140970"/>
    <w:rsid w:val="001458A6"/>
    <w:rsid w:val="0015399F"/>
    <w:rsid w:val="00155262"/>
    <w:rsid w:val="00165CC9"/>
    <w:rsid w:val="001741D1"/>
    <w:rsid w:val="001758D9"/>
    <w:rsid w:val="00181FFC"/>
    <w:rsid w:val="00182338"/>
    <w:rsid w:val="00182E07"/>
    <w:rsid w:val="00183601"/>
    <w:rsid w:val="00185FB1"/>
    <w:rsid w:val="0019731D"/>
    <w:rsid w:val="001A0AAE"/>
    <w:rsid w:val="001A7282"/>
    <w:rsid w:val="001B7A75"/>
    <w:rsid w:val="001B7FDD"/>
    <w:rsid w:val="001C158C"/>
    <w:rsid w:val="001C39B7"/>
    <w:rsid w:val="001C4A1A"/>
    <w:rsid w:val="001D1D39"/>
    <w:rsid w:val="001D2BF3"/>
    <w:rsid w:val="001D400E"/>
    <w:rsid w:val="001E1568"/>
    <w:rsid w:val="001E420C"/>
    <w:rsid w:val="001F1303"/>
    <w:rsid w:val="001F4E44"/>
    <w:rsid w:val="001F5F12"/>
    <w:rsid w:val="002133AA"/>
    <w:rsid w:val="002142C5"/>
    <w:rsid w:val="0022065F"/>
    <w:rsid w:val="00226868"/>
    <w:rsid w:val="00226F78"/>
    <w:rsid w:val="0025471F"/>
    <w:rsid w:val="00262620"/>
    <w:rsid w:val="00274AAE"/>
    <w:rsid w:val="00274B4D"/>
    <w:rsid w:val="00276F11"/>
    <w:rsid w:val="002831A4"/>
    <w:rsid w:val="00287000"/>
    <w:rsid w:val="002B1E93"/>
    <w:rsid w:val="002B1FBE"/>
    <w:rsid w:val="002B589F"/>
    <w:rsid w:val="002C38BD"/>
    <w:rsid w:val="002D18BD"/>
    <w:rsid w:val="002D23FE"/>
    <w:rsid w:val="002E2781"/>
    <w:rsid w:val="002F0607"/>
    <w:rsid w:val="002F7C0B"/>
    <w:rsid w:val="00307109"/>
    <w:rsid w:val="00313487"/>
    <w:rsid w:val="0033375C"/>
    <w:rsid w:val="00334F22"/>
    <w:rsid w:val="00341DAB"/>
    <w:rsid w:val="00343AD5"/>
    <w:rsid w:val="00346C31"/>
    <w:rsid w:val="00350F13"/>
    <w:rsid w:val="00352B7F"/>
    <w:rsid w:val="00352E7D"/>
    <w:rsid w:val="00362B17"/>
    <w:rsid w:val="00364261"/>
    <w:rsid w:val="00364D31"/>
    <w:rsid w:val="00366BE9"/>
    <w:rsid w:val="00385793"/>
    <w:rsid w:val="00392C52"/>
    <w:rsid w:val="003A1113"/>
    <w:rsid w:val="003A6DED"/>
    <w:rsid w:val="003B7526"/>
    <w:rsid w:val="003B7E86"/>
    <w:rsid w:val="003C4161"/>
    <w:rsid w:val="003C44EE"/>
    <w:rsid w:val="003C4669"/>
    <w:rsid w:val="003C6554"/>
    <w:rsid w:val="003D10FA"/>
    <w:rsid w:val="003D1C9C"/>
    <w:rsid w:val="003E0392"/>
    <w:rsid w:val="003E23C5"/>
    <w:rsid w:val="003F10D4"/>
    <w:rsid w:val="003F25F2"/>
    <w:rsid w:val="003F4090"/>
    <w:rsid w:val="003F6D97"/>
    <w:rsid w:val="00414F13"/>
    <w:rsid w:val="00421740"/>
    <w:rsid w:val="00432E87"/>
    <w:rsid w:val="0043699A"/>
    <w:rsid w:val="00441A93"/>
    <w:rsid w:val="004461CE"/>
    <w:rsid w:val="00457E0F"/>
    <w:rsid w:val="00461049"/>
    <w:rsid w:val="00470891"/>
    <w:rsid w:val="004728B8"/>
    <w:rsid w:val="00474FBC"/>
    <w:rsid w:val="004801EA"/>
    <w:rsid w:val="00486818"/>
    <w:rsid w:val="00487837"/>
    <w:rsid w:val="004A038A"/>
    <w:rsid w:val="004A0BFA"/>
    <w:rsid w:val="004A0F67"/>
    <w:rsid w:val="004A3D00"/>
    <w:rsid w:val="004B153D"/>
    <w:rsid w:val="004C0083"/>
    <w:rsid w:val="004C3FCC"/>
    <w:rsid w:val="004C5CA1"/>
    <w:rsid w:val="004D3ABA"/>
    <w:rsid w:val="004D5645"/>
    <w:rsid w:val="004D7D69"/>
    <w:rsid w:val="004E5C56"/>
    <w:rsid w:val="004F4DC5"/>
    <w:rsid w:val="005042D4"/>
    <w:rsid w:val="0050773A"/>
    <w:rsid w:val="005213DB"/>
    <w:rsid w:val="0052560E"/>
    <w:rsid w:val="00530BF3"/>
    <w:rsid w:val="00531EC2"/>
    <w:rsid w:val="005335E4"/>
    <w:rsid w:val="00533A15"/>
    <w:rsid w:val="00540EC3"/>
    <w:rsid w:val="00542580"/>
    <w:rsid w:val="0054369A"/>
    <w:rsid w:val="005466F7"/>
    <w:rsid w:val="00546ACF"/>
    <w:rsid w:val="0056412F"/>
    <w:rsid w:val="00580B90"/>
    <w:rsid w:val="00585318"/>
    <w:rsid w:val="00586A6E"/>
    <w:rsid w:val="00590BC2"/>
    <w:rsid w:val="005926F8"/>
    <w:rsid w:val="00596652"/>
    <w:rsid w:val="005A6CD0"/>
    <w:rsid w:val="005B1686"/>
    <w:rsid w:val="005C6FA7"/>
    <w:rsid w:val="005D17D8"/>
    <w:rsid w:val="005D45D0"/>
    <w:rsid w:val="005D4DF4"/>
    <w:rsid w:val="005D5E6B"/>
    <w:rsid w:val="005E6993"/>
    <w:rsid w:val="005F269E"/>
    <w:rsid w:val="005F3142"/>
    <w:rsid w:val="006002A7"/>
    <w:rsid w:val="006049CC"/>
    <w:rsid w:val="00605EFE"/>
    <w:rsid w:val="00611AA6"/>
    <w:rsid w:val="00614994"/>
    <w:rsid w:val="00616BCF"/>
    <w:rsid w:val="0061790B"/>
    <w:rsid w:val="0062058A"/>
    <w:rsid w:val="00621017"/>
    <w:rsid w:val="00627744"/>
    <w:rsid w:val="00631D87"/>
    <w:rsid w:val="00632244"/>
    <w:rsid w:val="0063332B"/>
    <w:rsid w:val="00640FF4"/>
    <w:rsid w:val="006412FF"/>
    <w:rsid w:val="00660511"/>
    <w:rsid w:val="0066108D"/>
    <w:rsid w:val="006719ED"/>
    <w:rsid w:val="006A25E6"/>
    <w:rsid w:val="006A5C99"/>
    <w:rsid w:val="006B3207"/>
    <w:rsid w:val="006C148B"/>
    <w:rsid w:val="006C3853"/>
    <w:rsid w:val="006D0BD3"/>
    <w:rsid w:val="006D2AAA"/>
    <w:rsid w:val="006D5ACD"/>
    <w:rsid w:val="006D6908"/>
    <w:rsid w:val="006E2CCE"/>
    <w:rsid w:val="006F1E23"/>
    <w:rsid w:val="006F464C"/>
    <w:rsid w:val="006F74D7"/>
    <w:rsid w:val="007018F3"/>
    <w:rsid w:val="007060DF"/>
    <w:rsid w:val="0071399A"/>
    <w:rsid w:val="00716CCF"/>
    <w:rsid w:val="00724CC7"/>
    <w:rsid w:val="0073414D"/>
    <w:rsid w:val="00744AF1"/>
    <w:rsid w:val="00752978"/>
    <w:rsid w:val="007606F3"/>
    <w:rsid w:val="00761A11"/>
    <w:rsid w:val="007641EB"/>
    <w:rsid w:val="00772ED1"/>
    <w:rsid w:val="00774B8A"/>
    <w:rsid w:val="00791051"/>
    <w:rsid w:val="00796C9F"/>
    <w:rsid w:val="007A41A8"/>
    <w:rsid w:val="007A4438"/>
    <w:rsid w:val="007A493C"/>
    <w:rsid w:val="007B4018"/>
    <w:rsid w:val="007C5945"/>
    <w:rsid w:val="007C5DF4"/>
    <w:rsid w:val="007D1AB4"/>
    <w:rsid w:val="007D723B"/>
    <w:rsid w:val="007E1A1D"/>
    <w:rsid w:val="007E2DD9"/>
    <w:rsid w:val="007F2B80"/>
    <w:rsid w:val="007F496D"/>
    <w:rsid w:val="007F6EDC"/>
    <w:rsid w:val="007F6F3A"/>
    <w:rsid w:val="008017A1"/>
    <w:rsid w:val="00801800"/>
    <w:rsid w:val="00803C7A"/>
    <w:rsid w:val="00805496"/>
    <w:rsid w:val="00806D20"/>
    <w:rsid w:val="00807151"/>
    <w:rsid w:val="00815C5C"/>
    <w:rsid w:val="00820882"/>
    <w:rsid w:val="00826C13"/>
    <w:rsid w:val="0084464A"/>
    <w:rsid w:val="00850B60"/>
    <w:rsid w:val="008537CE"/>
    <w:rsid w:val="00860E9A"/>
    <w:rsid w:val="008637BF"/>
    <w:rsid w:val="00864455"/>
    <w:rsid w:val="008705B7"/>
    <w:rsid w:val="00870A0E"/>
    <w:rsid w:val="00870BE6"/>
    <w:rsid w:val="0087177A"/>
    <w:rsid w:val="0087196D"/>
    <w:rsid w:val="00874683"/>
    <w:rsid w:val="008753F7"/>
    <w:rsid w:val="00876071"/>
    <w:rsid w:val="00883F9A"/>
    <w:rsid w:val="00885F98"/>
    <w:rsid w:val="00887B93"/>
    <w:rsid w:val="00895309"/>
    <w:rsid w:val="008959B7"/>
    <w:rsid w:val="008A18C3"/>
    <w:rsid w:val="008A4D87"/>
    <w:rsid w:val="008A79B4"/>
    <w:rsid w:val="008B0B5D"/>
    <w:rsid w:val="008B159B"/>
    <w:rsid w:val="008B1C8B"/>
    <w:rsid w:val="008C56D1"/>
    <w:rsid w:val="008E14D2"/>
    <w:rsid w:val="008E2545"/>
    <w:rsid w:val="008E3AFA"/>
    <w:rsid w:val="008F1425"/>
    <w:rsid w:val="008F6DBB"/>
    <w:rsid w:val="00900565"/>
    <w:rsid w:val="0090477F"/>
    <w:rsid w:val="0091149C"/>
    <w:rsid w:val="00911B92"/>
    <w:rsid w:val="009211AC"/>
    <w:rsid w:val="00921F9B"/>
    <w:rsid w:val="009220DB"/>
    <w:rsid w:val="0093206D"/>
    <w:rsid w:val="009350C8"/>
    <w:rsid w:val="00937ECF"/>
    <w:rsid w:val="00943867"/>
    <w:rsid w:val="0094401C"/>
    <w:rsid w:val="00946E1B"/>
    <w:rsid w:val="009505FF"/>
    <w:rsid w:val="00951102"/>
    <w:rsid w:val="009562EF"/>
    <w:rsid w:val="009629A0"/>
    <w:rsid w:val="00965E68"/>
    <w:rsid w:val="00971D5B"/>
    <w:rsid w:val="009833A2"/>
    <w:rsid w:val="009867B6"/>
    <w:rsid w:val="0099308E"/>
    <w:rsid w:val="009A20A1"/>
    <w:rsid w:val="009A3947"/>
    <w:rsid w:val="009B0426"/>
    <w:rsid w:val="009B449B"/>
    <w:rsid w:val="009B5208"/>
    <w:rsid w:val="009B7565"/>
    <w:rsid w:val="009C2438"/>
    <w:rsid w:val="009C7292"/>
    <w:rsid w:val="009D4CA7"/>
    <w:rsid w:val="009E0DB8"/>
    <w:rsid w:val="009E1082"/>
    <w:rsid w:val="009E7948"/>
    <w:rsid w:val="009F0B5A"/>
    <w:rsid w:val="00A05E41"/>
    <w:rsid w:val="00A15562"/>
    <w:rsid w:val="00A2124D"/>
    <w:rsid w:val="00A25BC9"/>
    <w:rsid w:val="00A26656"/>
    <w:rsid w:val="00A4088C"/>
    <w:rsid w:val="00A46467"/>
    <w:rsid w:val="00A46E4E"/>
    <w:rsid w:val="00A510C0"/>
    <w:rsid w:val="00A54FD2"/>
    <w:rsid w:val="00A56C6B"/>
    <w:rsid w:val="00A57B13"/>
    <w:rsid w:val="00A60A6C"/>
    <w:rsid w:val="00A64615"/>
    <w:rsid w:val="00A66B96"/>
    <w:rsid w:val="00A70CEC"/>
    <w:rsid w:val="00A72182"/>
    <w:rsid w:val="00A77A50"/>
    <w:rsid w:val="00A87302"/>
    <w:rsid w:val="00AA1281"/>
    <w:rsid w:val="00AA129F"/>
    <w:rsid w:val="00AA14B0"/>
    <w:rsid w:val="00AA249F"/>
    <w:rsid w:val="00AA6A0E"/>
    <w:rsid w:val="00AB24AD"/>
    <w:rsid w:val="00AB329E"/>
    <w:rsid w:val="00AB4817"/>
    <w:rsid w:val="00AC3D44"/>
    <w:rsid w:val="00AC4A9B"/>
    <w:rsid w:val="00AC5602"/>
    <w:rsid w:val="00AC6551"/>
    <w:rsid w:val="00AD3769"/>
    <w:rsid w:val="00AD610F"/>
    <w:rsid w:val="00AD6246"/>
    <w:rsid w:val="00AE588E"/>
    <w:rsid w:val="00AF1DA1"/>
    <w:rsid w:val="00AF248B"/>
    <w:rsid w:val="00AF3472"/>
    <w:rsid w:val="00B02FDB"/>
    <w:rsid w:val="00B069B6"/>
    <w:rsid w:val="00B07A3C"/>
    <w:rsid w:val="00B10358"/>
    <w:rsid w:val="00B10FE5"/>
    <w:rsid w:val="00B16EF5"/>
    <w:rsid w:val="00B33E85"/>
    <w:rsid w:val="00B3493E"/>
    <w:rsid w:val="00B37B27"/>
    <w:rsid w:val="00B44485"/>
    <w:rsid w:val="00B4565A"/>
    <w:rsid w:val="00B51C1C"/>
    <w:rsid w:val="00B62507"/>
    <w:rsid w:val="00B6699D"/>
    <w:rsid w:val="00B743D9"/>
    <w:rsid w:val="00B83510"/>
    <w:rsid w:val="00B83854"/>
    <w:rsid w:val="00B84B8E"/>
    <w:rsid w:val="00B858D6"/>
    <w:rsid w:val="00B86EEB"/>
    <w:rsid w:val="00B94150"/>
    <w:rsid w:val="00BA0BDD"/>
    <w:rsid w:val="00BA0CF8"/>
    <w:rsid w:val="00BA1F76"/>
    <w:rsid w:val="00BA2721"/>
    <w:rsid w:val="00BA4541"/>
    <w:rsid w:val="00BA5A12"/>
    <w:rsid w:val="00BA6041"/>
    <w:rsid w:val="00BC0553"/>
    <w:rsid w:val="00BC084F"/>
    <w:rsid w:val="00BC3528"/>
    <w:rsid w:val="00BC7B59"/>
    <w:rsid w:val="00BD16D5"/>
    <w:rsid w:val="00BD64D6"/>
    <w:rsid w:val="00BD7942"/>
    <w:rsid w:val="00BE2398"/>
    <w:rsid w:val="00BF094B"/>
    <w:rsid w:val="00BF487A"/>
    <w:rsid w:val="00BF505E"/>
    <w:rsid w:val="00BF5968"/>
    <w:rsid w:val="00C02120"/>
    <w:rsid w:val="00C0566D"/>
    <w:rsid w:val="00C2163D"/>
    <w:rsid w:val="00C22DBC"/>
    <w:rsid w:val="00C4232D"/>
    <w:rsid w:val="00C47141"/>
    <w:rsid w:val="00C50A5E"/>
    <w:rsid w:val="00C52053"/>
    <w:rsid w:val="00C520DE"/>
    <w:rsid w:val="00C5262E"/>
    <w:rsid w:val="00C56A91"/>
    <w:rsid w:val="00C57E43"/>
    <w:rsid w:val="00C60A66"/>
    <w:rsid w:val="00C652CE"/>
    <w:rsid w:val="00C75E21"/>
    <w:rsid w:val="00C835C7"/>
    <w:rsid w:val="00C91A48"/>
    <w:rsid w:val="00C92130"/>
    <w:rsid w:val="00C93AD8"/>
    <w:rsid w:val="00C952F5"/>
    <w:rsid w:val="00CA1DCB"/>
    <w:rsid w:val="00CA6D6E"/>
    <w:rsid w:val="00CD4150"/>
    <w:rsid w:val="00CD4D0F"/>
    <w:rsid w:val="00CD7FE6"/>
    <w:rsid w:val="00CE37C1"/>
    <w:rsid w:val="00CF4BA9"/>
    <w:rsid w:val="00CF7533"/>
    <w:rsid w:val="00D00688"/>
    <w:rsid w:val="00D00F7B"/>
    <w:rsid w:val="00D10624"/>
    <w:rsid w:val="00D27D33"/>
    <w:rsid w:val="00D326EB"/>
    <w:rsid w:val="00D3722B"/>
    <w:rsid w:val="00D47369"/>
    <w:rsid w:val="00D47849"/>
    <w:rsid w:val="00D53FC9"/>
    <w:rsid w:val="00D563B8"/>
    <w:rsid w:val="00D61436"/>
    <w:rsid w:val="00D62897"/>
    <w:rsid w:val="00D734D2"/>
    <w:rsid w:val="00D75800"/>
    <w:rsid w:val="00D777EC"/>
    <w:rsid w:val="00D85690"/>
    <w:rsid w:val="00D85909"/>
    <w:rsid w:val="00D92BE6"/>
    <w:rsid w:val="00D95B60"/>
    <w:rsid w:val="00DD101D"/>
    <w:rsid w:val="00DD625F"/>
    <w:rsid w:val="00DD6FC4"/>
    <w:rsid w:val="00E200FB"/>
    <w:rsid w:val="00E233D4"/>
    <w:rsid w:val="00E248DE"/>
    <w:rsid w:val="00E30BC7"/>
    <w:rsid w:val="00E4244C"/>
    <w:rsid w:val="00E4452C"/>
    <w:rsid w:val="00E54413"/>
    <w:rsid w:val="00E63058"/>
    <w:rsid w:val="00E75E98"/>
    <w:rsid w:val="00E838ED"/>
    <w:rsid w:val="00E83AAB"/>
    <w:rsid w:val="00E869F7"/>
    <w:rsid w:val="00E97CDF"/>
    <w:rsid w:val="00EA622D"/>
    <w:rsid w:val="00EB5537"/>
    <w:rsid w:val="00ED13EE"/>
    <w:rsid w:val="00ED2017"/>
    <w:rsid w:val="00ED2E6E"/>
    <w:rsid w:val="00ED5BB0"/>
    <w:rsid w:val="00ED6ADB"/>
    <w:rsid w:val="00ED6CDE"/>
    <w:rsid w:val="00EE0C05"/>
    <w:rsid w:val="00EE2752"/>
    <w:rsid w:val="00EE2767"/>
    <w:rsid w:val="00EE568E"/>
    <w:rsid w:val="00EF0E04"/>
    <w:rsid w:val="00EF4B2B"/>
    <w:rsid w:val="00F03B4B"/>
    <w:rsid w:val="00F0401D"/>
    <w:rsid w:val="00F1122C"/>
    <w:rsid w:val="00F124EE"/>
    <w:rsid w:val="00F20C86"/>
    <w:rsid w:val="00F238B7"/>
    <w:rsid w:val="00F26FC7"/>
    <w:rsid w:val="00F330DE"/>
    <w:rsid w:val="00F36226"/>
    <w:rsid w:val="00F41FCD"/>
    <w:rsid w:val="00F508AA"/>
    <w:rsid w:val="00F514DA"/>
    <w:rsid w:val="00F6324A"/>
    <w:rsid w:val="00F65257"/>
    <w:rsid w:val="00F65FE9"/>
    <w:rsid w:val="00F7113F"/>
    <w:rsid w:val="00F83805"/>
    <w:rsid w:val="00F83C42"/>
    <w:rsid w:val="00F93A6B"/>
    <w:rsid w:val="00FA4DBF"/>
    <w:rsid w:val="00FA73CD"/>
    <w:rsid w:val="00FB2F2C"/>
    <w:rsid w:val="00FB6658"/>
    <w:rsid w:val="00FC1619"/>
    <w:rsid w:val="00FC59DF"/>
    <w:rsid w:val="00FD296E"/>
    <w:rsid w:val="00FD3931"/>
    <w:rsid w:val="00FE4B16"/>
    <w:rsid w:val="00FE79F9"/>
    <w:rsid w:val="00FF00BD"/>
    <w:rsid w:val="00FF50A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4ADE8851"/>
  <w15:chartTrackingRefBased/>
  <w15:docId w15:val="{859A875E-2E13-4079-9751-C9058BC0A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A1A"/>
    <w:rPr>
      <w:rFonts w:ascii="Times New Roman" w:hAnsi="Times New Roman"/>
      <w:color w:val="000000" w:themeColor="text1"/>
      <w:sz w:val="24"/>
    </w:rPr>
  </w:style>
  <w:style w:type="paragraph" w:styleId="Heading1">
    <w:name w:val="heading 1"/>
    <w:basedOn w:val="Normal"/>
    <w:next w:val="Normal"/>
    <w:link w:val="Heading1Char"/>
    <w:uiPriority w:val="9"/>
    <w:qFormat/>
    <w:rsid w:val="00627744"/>
    <w:pPr>
      <w:keepNext/>
      <w:keepLines/>
      <w:numPr>
        <w:numId w:val="6"/>
      </w:numPr>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27744"/>
    <w:pPr>
      <w:keepNext/>
      <w:keepLines/>
      <w:numPr>
        <w:ilvl w:val="1"/>
        <w:numId w:val="6"/>
      </w:numPr>
      <w:spacing w:before="40" w:after="0"/>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627744"/>
    <w:pPr>
      <w:keepNext/>
      <w:keepLines/>
      <w:numPr>
        <w:ilvl w:val="2"/>
        <w:numId w:val="6"/>
      </w:numPr>
      <w:spacing w:before="40" w:after="0"/>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4801EA"/>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801EA"/>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801EA"/>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801EA"/>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801EA"/>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01EA"/>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6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7744"/>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627744"/>
    <w:rPr>
      <w:rFonts w:ascii="Times New Roman" w:eastAsiaTheme="majorEastAsia" w:hAnsi="Times New Roman" w:cstheme="majorBidi"/>
      <w:b/>
      <w:i/>
      <w:color w:val="000000" w:themeColor="text1"/>
      <w:sz w:val="28"/>
      <w:szCs w:val="26"/>
    </w:rPr>
  </w:style>
  <w:style w:type="character" w:customStyle="1" w:styleId="Heading3Char">
    <w:name w:val="Heading 3 Char"/>
    <w:basedOn w:val="DefaultParagraphFont"/>
    <w:link w:val="Heading3"/>
    <w:uiPriority w:val="9"/>
    <w:rsid w:val="00627744"/>
    <w:rPr>
      <w:rFonts w:ascii="Times New Roman" w:eastAsiaTheme="majorEastAsia" w:hAnsi="Times New Roman" w:cstheme="majorBidi"/>
      <w:i/>
      <w:color w:val="000000" w:themeColor="text1"/>
      <w:sz w:val="24"/>
      <w:szCs w:val="24"/>
    </w:rPr>
  </w:style>
  <w:style w:type="character" w:styleId="CommentReference">
    <w:name w:val="annotation reference"/>
    <w:basedOn w:val="DefaultParagraphFont"/>
    <w:uiPriority w:val="99"/>
    <w:semiHidden/>
    <w:unhideWhenUsed/>
    <w:rsid w:val="00AF248B"/>
    <w:rPr>
      <w:sz w:val="16"/>
      <w:szCs w:val="16"/>
    </w:rPr>
  </w:style>
  <w:style w:type="paragraph" w:styleId="CommentText">
    <w:name w:val="annotation text"/>
    <w:basedOn w:val="Normal"/>
    <w:link w:val="CommentTextChar"/>
    <w:uiPriority w:val="99"/>
    <w:semiHidden/>
    <w:unhideWhenUsed/>
    <w:rsid w:val="00AF248B"/>
    <w:pPr>
      <w:spacing w:line="240" w:lineRule="auto"/>
    </w:pPr>
    <w:rPr>
      <w:sz w:val="20"/>
      <w:szCs w:val="20"/>
    </w:rPr>
  </w:style>
  <w:style w:type="character" w:customStyle="1" w:styleId="CommentTextChar">
    <w:name w:val="Comment Text Char"/>
    <w:basedOn w:val="DefaultParagraphFont"/>
    <w:link w:val="CommentText"/>
    <w:uiPriority w:val="99"/>
    <w:semiHidden/>
    <w:rsid w:val="00AF248B"/>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F248B"/>
    <w:rPr>
      <w:b/>
      <w:bCs/>
    </w:rPr>
  </w:style>
  <w:style w:type="character" w:customStyle="1" w:styleId="CommentSubjectChar">
    <w:name w:val="Comment Subject Char"/>
    <w:basedOn w:val="CommentTextChar"/>
    <w:link w:val="CommentSubject"/>
    <w:uiPriority w:val="99"/>
    <w:semiHidden/>
    <w:rsid w:val="00AF248B"/>
    <w:rPr>
      <w:rFonts w:ascii="Times New Roman" w:hAnsi="Times New Roman"/>
      <w:b/>
      <w:bCs/>
      <w:color w:val="000000" w:themeColor="text1"/>
      <w:sz w:val="20"/>
      <w:szCs w:val="20"/>
    </w:rPr>
  </w:style>
  <w:style w:type="paragraph" w:styleId="BalloonText">
    <w:name w:val="Balloon Text"/>
    <w:basedOn w:val="Normal"/>
    <w:link w:val="BalloonTextChar"/>
    <w:uiPriority w:val="99"/>
    <w:semiHidden/>
    <w:unhideWhenUsed/>
    <w:rsid w:val="00AF24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48B"/>
    <w:rPr>
      <w:rFonts w:ascii="Segoe UI" w:hAnsi="Segoe UI" w:cs="Segoe UI"/>
      <w:color w:val="000000" w:themeColor="text1"/>
      <w:sz w:val="18"/>
      <w:szCs w:val="18"/>
    </w:rPr>
  </w:style>
  <w:style w:type="character" w:styleId="Hyperlink">
    <w:name w:val="Hyperlink"/>
    <w:basedOn w:val="DefaultParagraphFont"/>
    <w:uiPriority w:val="99"/>
    <w:unhideWhenUsed/>
    <w:rsid w:val="00C02120"/>
    <w:rPr>
      <w:color w:val="0563C1" w:themeColor="hyperlink"/>
      <w:u w:val="single"/>
    </w:rPr>
  </w:style>
  <w:style w:type="character" w:customStyle="1" w:styleId="Heading4Char">
    <w:name w:val="Heading 4 Char"/>
    <w:basedOn w:val="DefaultParagraphFont"/>
    <w:link w:val="Heading4"/>
    <w:uiPriority w:val="9"/>
    <w:semiHidden/>
    <w:rsid w:val="004801EA"/>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4801EA"/>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4801EA"/>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4801EA"/>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4801E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01EA"/>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470891"/>
    <w:pPr>
      <w:spacing w:after="0" w:line="240" w:lineRule="auto"/>
    </w:pPr>
    <w:rPr>
      <w:rFonts w:ascii="Times New Roman" w:hAnsi="Times New Roman"/>
      <w:color w:val="000000" w:themeColor="text1"/>
      <w:sz w:val="24"/>
    </w:rPr>
  </w:style>
  <w:style w:type="paragraph" w:styleId="Caption">
    <w:name w:val="caption"/>
    <w:basedOn w:val="Normal"/>
    <w:next w:val="Normal"/>
    <w:uiPriority w:val="35"/>
    <w:unhideWhenUsed/>
    <w:qFormat/>
    <w:rsid w:val="00B858D6"/>
    <w:pPr>
      <w:spacing w:after="200" w:line="240" w:lineRule="auto"/>
      <w:jc w:val="center"/>
    </w:pPr>
    <w:rPr>
      <w:b/>
      <w:i/>
      <w:iCs/>
      <w:color w:val="auto"/>
      <w:sz w:val="18"/>
      <w:szCs w:val="18"/>
    </w:rPr>
  </w:style>
  <w:style w:type="paragraph" w:styleId="Header">
    <w:name w:val="header"/>
    <w:basedOn w:val="Normal"/>
    <w:link w:val="HeaderChar"/>
    <w:uiPriority w:val="99"/>
    <w:unhideWhenUsed/>
    <w:rsid w:val="00801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7A1"/>
    <w:rPr>
      <w:rFonts w:ascii="Times New Roman" w:hAnsi="Times New Roman"/>
      <w:color w:val="000000" w:themeColor="text1"/>
      <w:sz w:val="24"/>
    </w:rPr>
  </w:style>
  <w:style w:type="paragraph" w:styleId="Footer">
    <w:name w:val="footer"/>
    <w:basedOn w:val="Normal"/>
    <w:link w:val="FooterChar"/>
    <w:uiPriority w:val="99"/>
    <w:unhideWhenUsed/>
    <w:rsid w:val="00801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7A1"/>
    <w:rPr>
      <w:rFonts w:ascii="Times New Roman" w:hAnsi="Times New Roman"/>
      <w:color w:val="000000" w:themeColor="text1"/>
      <w:sz w:val="24"/>
    </w:rPr>
  </w:style>
  <w:style w:type="paragraph" w:styleId="TOCHeading">
    <w:name w:val="TOC Heading"/>
    <w:basedOn w:val="Heading1"/>
    <w:next w:val="Normal"/>
    <w:uiPriority w:val="39"/>
    <w:unhideWhenUsed/>
    <w:qFormat/>
    <w:rsid w:val="00A64615"/>
    <w:pPr>
      <w:numPr>
        <w:numId w:val="0"/>
      </w:numPr>
      <w:outlineLvl w:val="9"/>
    </w:pPr>
    <w:rPr>
      <w:rFonts w:asciiTheme="majorHAnsi" w:hAnsiTheme="majorHAnsi"/>
      <w:b w:val="0"/>
      <w:color w:val="2E74B5" w:themeColor="accent1" w:themeShade="BF"/>
      <w:lang w:eastAsia="en-US"/>
    </w:rPr>
  </w:style>
  <w:style w:type="paragraph" w:styleId="TOC1">
    <w:name w:val="toc 1"/>
    <w:basedOn w:val="Normal"/>
    <w:next w:val="Normal"/>
    <w:autoRedefine/>
    <w:uiPriority w:val="39"/>
    <w:unhideWhenUsed/>
    <w:rsid w:val="00A64615"/>
    <w:pPr>
      <w:spacing w:after="100"/>
    </w:pPr>
  </w:style>
  <w:style w:type="paragraph" w:styleId="TOC2">
    <w:name w:val="toc 2"/>
    <w:basedOn w:val="Normal"/>
    <w:next w:val="Normal"/>
    <w:autoRedefine/>
    <w:uiPriority w:val="39"/>
    <w:unhideWhenUsed/>
    <w:rsid w:val="00A64615"/>
    <w:pPr>
      <w:spacing w:after="100"/>
      <w:ind w:left="240"/>
    </w:pPr>
  </w:style>
  <w:style w:type="paragraph" w:styleId="TableofFigures">
    <w:name w:val="table of figures"/>
    <w:basedOn w:val="Normal"/>
    <w:next w:val="Normal"/>
    <w:uiPriority w:val="99"/>
    <w:unhideWhenUsed/>
    <w:rsid w:val="006C385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39403">
      <w:bodyDiv w:val="1"/>
      <w:marLeft w:val="0"/>
      <w:marRight w:val="0"/>
      <w:marTop w:val="0"/>
      <w:marBottom w:val="0"/>
      <w:divBdr>
        <w:top w:val="none" w:sz="0" w:space="0" w:color="auto"/>
        <w:left w:val="none" w:sz="0" w:space="0" w:color="auto"/>
        <w:bottom w:val="none" w:sz="0" w:space="0" w:color="auto"/>
        <w:right w:val="none" w:sz="0" w:space="0" w:color="auto"/>
      </w:divBdr>
    </w:div>
    <w:div w:id="273488192">
      <w:bodyDiv w:val="1"/>
      <w:marLeft w:val="0"/>
      <w:marRight w:val="0"/>
      <w:marTop w:val="0"/>
      <w:marBottom w:val="0"/>
      <w:divBdr>
        <w:top w:val="none" w:sz="0" w:space="0" w:color="auto"/>
        <w:left w:val="none" w:sz="0" w:space="0" w:color="auto"/>
        <w:bottom w:val="none" w:sz="0" w:space="0" w:color="auto"/>
        <w:right w:val="none" w:sz="0" w:space="0" w:color="auto"/>
      </w:divBdr>
    </w:div>
    <w:div w:id="285356613">
      <w:bodyDiv w:val="1"/>
      <w:marLeft w:val="0"/>
      <w:marRight w:val="0"/>
      <w:marTop w:val="0"/>
      <w:marBottom w:val="0"/>
      <w:divBdr>
        <w:top w:val="none" w:sz="0" w:space="0" w:color="auto"/>
        <w:left w:val="none" w:sz="0" w:space="0" w:color="auto"/>
        <w:bottom w:val="none" w:sz="0" w:space="0" w:color="auto"/>
        <w:right w:val="none" w:sz="0" w:space="0" w:color="auto"/>
      </w:divBdr>
    </w:div>
    <w:div w:id="392626953">
      <w:bodyDiv w:val="1"/>
      <w:marLeft w:val="0"/>
      <w:marRight w:val="0"/>
      <w:marTop w:val="0"/>
      <w:marBottom w:val="0"/>
      <w:divBdr>
        <w:top w:val="none" w:sz="0" w:space="0" w:color="auto"/>
        <w:left w:val="none" w:sz="0" w:space="0" w:color="auto"/>
        <w:bottom w:val="none" w:sz="0" w:space="0" w:color="auto"/>
        <w:right w:val="none" w:sz="0" w:space="0" w:color="auto"/>
      </w:divBdr>
    </w:div>
    <w:div w:id="653409932">
      <w:bodyDiv w:val="1"/>
      <w:marLeft w:val="0"/>
      <w:marRight w:val="0"/>
      <w:marTop w:val="0"/>
      <w:marBottom w:val="0"/>
      <w:divBdr>
        <w:top w:val="none" w:sz="0" w:space="0" w:color="auto"/>
        <w:left w:val="none" w:sz="0" w:space="0" w:color="auto"/>
        <w:bottom w:val="none" w:sz="0" w:space="0" w:color="auto"/>
        <w:right w:val="none" w:sz="0" w:space="0" w:color="auto"/>
      </w:divBdr>
    </w:div>
    <w:div w:id="695545202">
      <w:bodyDiv w:val="1"/>
      <w:marLeft w:val="0"/>
      <w:marRight w:val="0"/>
      <w:marTop w:val="0"/>
      <w:marBottom w:val="0"/>
      <w:divBdr>
        <w:top w:val="none" w:sz="0" w:space="0" w:color="auto"/>
        <w:left w:val="none" w:sz="0" w:space="0" w:color="auto"/>
        <w:bottom w:val="none" w:sz="0" w:space="0" w:color="auto"/>
        <w:right w:val="none" w:sz="0" w:space="0" w:color="auto"/>
      </w:divBdr>
    </w:div>
    <w:div w:id="696850398">
      <w:bodyDiv w:val="1"/>
      <w:marLeft w:val="0"/>
      <w:marRight w:val="0"/>
      <w:marTop w:val="0"/>
      <w:marBottom w:val="0"/>
      <w:divBdr>
        <w:top w:val="none" w:sz="0" w:space="0" w:color="auto"/>
        <w:left w:val="none" w:sz="0" w:space="0" w:color="auto"/>
        <w:bottom w:val="none" w:sz="0" w:space="0" w:color="auto"/>
        <w:right w:val="none" w:sz="0" w:space="0" w:color="auto"/>
      </w:divBdr>
    </w:div>
    <w:div w:id="756054942">
      <w:bodyDiv w:val="1"/>
      <w:marLeft w:val="0"/>
      <w:marRight w:val="0"/>
      <w:marTop w:val="0"/>
      <w:marBottom w:val="0"/>
      <w:divBdr>
        <w:top w:val="none" w:sz="0" w:space="0" w:color="auto"/>
        <w:left w:val="none" w:sz="0" w:space="0" w:color="auto"/>
        <w:bottom w:val="none" w:sz="0" w:space="0" w:color="auto"/>
        <w:right w:val="none" w:sz="0" w:space="0" w:color="auto"/>
      </w:divBdr>
    </w:div>
    <w:div w:id="915473989">
      <w:bodyDiv w:val="1"/>
      <w:marLeft w:val="0"/>
      <w:marRight w:val="0"/>
      <w:marTop w:val="0"/>
      <w:marBottom w:val="0"/>
      <w:divBdr>
        <w:top w:val="none" w:sz="0" w:space="0" w:color="auto"/>
        <w:left w:val="none" w:sz="0" w:space="0" w:color="auto"/>
        <w:bottom w:val="none" w:sz="0" w:space="0" w:color="auto"/>
        <w:right w:val="none" w:sz="0" w:space="0" w:color="auto"/>
      </w:divBdr>
    </w:div>
    <w:div w:id="1023550536">
      <w:bodyDiv w:val="1"/>
      <w:marLeft w:val="0"/>
      <w:marRight w:val="0"/>
      <w:marTop w:val="0"/>
      <w:marBottom w:val="0"/>
      <w:divBdr>
        <w:top w:val="none" w:sz="0" w:space="0" w:color="auto"/>
        <w:left w:val="none" w:sz="0" w:space="0" w:color="auto"/>
        <w:bottom w:val="none" w:sz="0" w:space="0" w:color="auto"/>
        <w:right w:val="none" w:sz="0" w:space="0" w:color="auto"/>
      </w:divBdr>
    </w:div>
    <w:div w:id="1031762445">
      <w:bodyDiv w:val="1"/>
      <w:marLeft w:val="0"/>
      <w:marRight w:val="0"/>
      <w:marTop w:val="0"/>
      <w:marBottom w:val="0"/>
      <w:divBdr>
        <w:top w:val="none" w:sz="0" w:space="0" w:color="auto"/>
        <w:left w:val="none" w:sz="0" w:space="0" w:color="auto"/>
        <w:bottom w:val="none" w:sz="0" w:space="0" w:color="auto"/>
        <w:right w:val="none" w:sz="0" w:space="0" w:color="auto"/>
      </w:divBdr>
    </w:div>
    <w:div w:id="1222717918">
      <w:bodyDiv w:val="1"/>
      <w:marLeft w:val="0"/>
      <w:marRight w:val="0"/>
      <w:marTop w:val="0"/>
      <w:marBottom w:val="0"/>
      <w:divBdr>
        <w:top w:val="none" w:sz="0" w:space="0" w:color="auto"/>
        <w:left w:val="none" w:sz="0" w:space="0" w:color="auto"/>
        <w:bottom w:val="none" w:sz="0" w:space="0" w:color="auto"/>
        <w:right w:val="none" w:sz="0" w:space="0" w:color="auto"/>
      </w:divBdr>
    </w:div>
    <w:div w:id="1505701638">
      <w:bodyDiv w:val="1"/>
      <w:marLeft w:val="0"/>
      <w:marRight w:val="0"/>
      <w:marTop w:val="0"/>
      <w:marBottom w:val="0"/>
      <w:divBdr>
        <w:top w:val="none" w:sz="0" w:space="0" w:color="auto"/>
        <w:left w:val="none" w:sz="0" w:space="0" w:color="auto"/>
        <w:bottom w:val="none" w:sz="0" w:space="0" w:color="auto"/>
        <w:right w:val="none" w:sz="0" w:space="0" w:color="auto"/>
      </w:divBdr>
    </w:div>
    <w:div w:id="175447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9459F-5113-47F8-BF8C-96531EDBD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3767</Words>
  <Characters>21478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Houston Advanced Research Center</Company>
  <LinksUpToDate>false</LinksUpToDate>
  <CharactersWithSpaces>25195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Bare</dc:creator>
  <cp:keywords/>
  <dc:description/>
  <cp:lastModifiedBy>Ryan Bare</cp:lastModifiedBy>
  <cp:revision>8</cp:revision>
  <cp:lastPrinted>2015-08-05T16:27:00Z</cp:lastPrinted>
  <dcterms:created xsi:type="dcterms:W3CDTF">2015-08-12T18:48:00Z</dcterms:created>
  <dcterms:modified xsi:type="dcterms:W3CDTF">2015-08-18T16:09:00Z</dcterms:modified>
</cp:coreProperties>
</file>